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D208A" w14:textId="77777777" w:rsidR="00065CC6" w:rsidRPr="00777ED2" w:rsidRDefault="00065CC6" w:rsidP="00F76D9E">
      <w:pPr>
        <w:rPr>
          <w:rFonts w:ascii="GalanoGrotesque-Bold" w:eastAsia="Times New Roman" w:hAnsi="GalanoGrotesque-Bold" w:cs="Times New Roman"/>
          <w:b/>
          <w:sz w:val="22"/>
          <w:szCs w:val="28"/>
        </w:rPr>
      </w:pPr>
    </w:p>
    <w:p w14:paraId="45D632D6" w14:textId="77777777" w:rsidR="00B82D70" w:rsidRPr="00777ED2" w:rsidRDefault="00B82D70" w:rsidP="00B82D70">
      <w:pPr>
        <w:spacing w:before="0" w:after="0"/>
        <w:rPr>
          <w:rFonts w:eastAsia="Times New Roman" w:cs="Times New Roman"/>
          <w:b/>
          <w:sz w:val="26"/>
          <w:szCs w:val="22"/>
        </w:rPr>
      </w:pPr>
      <w:r w:rsidRPr="00777ED2">
        <w:rPr>
          <w:rFonts w:eastAsia="Times New Roman" w:cs="Times New Roman"/>
          <w:b/>
          <w:sz w:val="26"/>
          <w:szCs w:val="22"/>
        </w:rPr>
        <w:t>1.8 NOTAS A LOS ESTADOS FINANCIEROS</w:t>
      </w:r>
    </w:p>
    <w:p w14:paraId="45691A60" w14:textId="77777777" w:rsidR="00B82D70" w:rsidRPr="000D7935" w:rsidRDefault="00B82D70" w:rsidP="00B82D70">
      <w:pPr>
        <w:spacing w:before="0" w:after="0"/>
        <w:rPr>
          <w:rFonts w:eastAsia="Calibri" w:cs="Times New Roman"/>
          <w:bCs/>
          <w:color w:val="000000"/>
          <w:sz w:val="22"/>
          <w:szCs w:val="22"/>
        </w:rPr>
      </w:pPr>
    </w:p>
    <w:p w14:paraId="6C25BE86" w14:textId="1173DBBF" w:rsidR="00B82D70" w:rsidRPr="005863FC" w:rsidRDefault="00B82D70" w:rsidP="00B82D70">
      <w:pPr>
        <w:spacing w:before="0" w:after="0"/>
        <w:rPr>
          <w:rFonts w:eastAsia="Calibri" w:cs="Times New Roman"/>
          <w:bCs/>
          <w:color w:val="000000"/>
          <w:sz w:val="22"/>
          <w:szCs w:val="22"/>
        </w:rPr>
      </w:pPr>
      <w:r w:rsidRPr="000D7935">
        <w:rPr>
          <w:rFonts w:eastAsia="Calibri" w:cs="Times New Roman"/>
          <w:bCs/>
          <w:color w:val="000000"/>
          <w:sz w:val="22"/>
          <w:szCs w:val="22"/>
        </w:rPr>
        <w:t xml:space="preserve">Las notas que se adjuntan al presente informe, son parte integrante de los estados financieros, correspondientes </w:t>
      </w:r>
      <w:r>
        <w:rPr>
          <w:rFonts w:eastAsia="Calibri" w:cs="Times New Roman"/>
          <w:bCs/>
          <w:color w:val="000000"/>
          <w:sz w:val="22"/>
          <w:szCs w:val="22"/>
        </w:rPr>
        <w:t xml:space="preserve">al </w:t>
      </w:r>
      <w:r w:rsidR="00BD4F6A">
        <w:rPr>
          <w:rFonts w:eastAsia="Calibri" w:cs="Times New Roman"/>
          <w:bCs/>
          <w:color w:val="000000"/>
          <w:sz w:val="22"/>
          <w:szCs w:val="22"/>
        </w:rPr>
        <w:t>Cuarto</w:t>
      </w:r>
      <w:r>
        <w:rPr>
          <w:rFonts w:eastAsia="Calibri" w:cs="Times New Roman"/>
          <w:bCs/>
          <w:color w:val="000000"/>
          <w:sz w:val="22"/>
          <w:szCs w:val="22"/>
        </w:rPr>
        <w:t xml:space="preserve"> Trimestre</w:t>
      </w:r>
      <w:r w:rsidRPr="007E286C">
        <w:rPr>
          <w:rFonts w:eastAsia="Calibri" w:cs="Times New Roman"/>
          <w:bCs/>
          <w:color w:val="000000"/>
          <w:sz w:val="22"/>
          <w:szCs w:val="22"/>
        </w:rPr>
        <w:t xml:space="preserve"> del ejercicio fiscal 202</w:t>
      </w:r>
      <w:r w:rsidR="005C1131">
        <w:rPr>
          <w:rFonts w:eastAsia="Calibri" w:cs="Times New Roman"/>
          <w:bCs/>
          <w:color w:val="000000"/>
          <w:sz w:val="22"/>
          <w:szCs w:val="22"/>
        </w:rPr>
        <w:t>2</w:t>
      </w:r>
      <w:r w:rsidRPr="007E286C">
        <w:rPr>
          <w:rFonts w:eastAsia="Calibri" w:cs="Times New Roman"/>
          <w:bCs/>
          <w:color w:val="000000"/>
          <w:sz w:val="22"/>
          <w:szCs w:val="22"/>
        </w:rPr>
        <w:t xml:space="preserve">; las cuales, tienen como propósito aclarar o detallar la información y cifras en los mismos, y se presentan </w:t>
      </w:r>
      <w:r w:rsidRPr="007E286C">
        <w:rPr>
          <w:rFonts w:eastAsia="Calibri" w:cs="Times New Roman"/>
          <w:sz w:val="22"/>
          <w:szCs w:val="22"/>
        </w:rPr>
        <w:t>en cumplimiento de los artículos 4</w:t>
      </w:r>
      <w:r>
        <w:rPr>
          <w:rFonts w:eastAsia="Calibri" w:cs="Times New Roman"/>
          <w:sz w:val="22"/>
          <w:szCs w:val="22"/>
        </w:rPr>
        <w:t>7</w:t>
      </w:r>
      <w:r w:rsidRPr="007E286C">
        <w:rPr>
          <w:rFonts w:eastAsia="Calibri" w:cs="Times New Roman"/>
          <w:sz w:val="22"/>
          <w:szCs w:val="22"/>
        </w:rPr>
        <w:t xml:space="preserve"> y 49 de la Ley General de</w:t>
      </w:r>
      <w:r w:rsidRPr="005863FC">
        <w:rPr>
          <w:rFonts w:eastAsia="Calibri" w:cs="Times New Roman"/>
          <w:sz w:val="22"/>
          <w:szCs w:val="22"/>
        </w:rPr>
        <w:t xml:space="preserve"> Contabilidad Gubernamental</w:t>
      </w:r>
      <w:r w:rsidRPr="005863FC">
        <w:rPr>
          <w:rFonts w:eastAsia="Calibri" w:cs="Times New Roman"/>
          <w:bCs/>
          <w:color w:val="000000"/>
          <w:sz w:val="22"/>
          <w:szCs w:val="22"/>
        </w:rPr>
        <w:t xml:space="preserve"> y del Acuerdo que reforma </w:t>
      </w:r>
      <w:r w:rsidRPr="00FA68E8">
        <w:rPr>
          <w:rFonts w:eastAsia="Calibri" w:cs="Times New Roman"/>
          <w:bCs/>
          <w:color w:val="000000"/>
          <w:sz w:val="22"/>
          <w:szCs w:val="22"/>
        </w:rPr>
        <w:t xml:space="preserve">los Capítulos </w:t>
      </w:r>
      <w:r w:rsidRPr="00BF1035">
        <w:rPr>
          <w:rFonts w:eastAsia="Calibri" w:cs="Times New Roman"/>
          <w:bCs/>
          <w:color w:val="000000"/>
          <w:sz w:val="22"/>
          <w:szCs w:val="22"/>
        </w:rPr>
        <w:t>III</w:t>
      </w:r>
      <w:r w:rsidRPr="00FA68E8">
        <w:rPr>
          <w:rFonts w:eastAsia="Calibri" w:cs="Times New Roman"/>
          <w:bCs/>
          <w:color w:val="000000"/>
          <w:sz w:val="22"/>
          <w:szCs w:val="22"/>
        </w:rPr>
        <w:t xml:space="preserve"> y VII del Manual de Contabilidad Gubernamental, publicado en el Diario Oficial de la Federación </w:t>
      </w:r>
      <w:r w:rsidRPr="00BF1035">
        <w:rPr>
          <w:rFonts w:eastAsia="Calibri" w:cs="Times New Roman"/>
          <w:bCs/>
          <w:color w:val="000000"/>
          <w:sz w:val="22"/>
          <w:szCs w:val="22"/>
        </w:rPr>
        <w:t>del 27 de septiembre de 2018</w:t>
      </w:r>
      <w:r w:rsidR="00466200">
        <w:rPr>
          <w:rFonts w:eastAsia="Calibri" w:cs="Times New Roman"/>
          <w:bCs/>
          <w:color w:val="000000"/>
          <w:sz w:val="22"/>
          <w:szCs w:val="22"/>
        </w:rPr>
        <w:t>,</w:t>
      </w:r>
      <w:r>
        <w:rPr>
          <w:rFonts w:eastAsia="Calibri" w:cs="Times New Roman"/>
          <w:bCs/>
          <w:color w:val="000000"/>
          <w:sz w:val="22"/>
          <w:szCs w:val="22"/>
        </w:rPr>
        <w:t xml:space="preserve"> 23 de diciembre del 2020</w:t>
      </w:r>
      <w:r w:rsidR="00466200">
        <w:rPr>
          <w:rFonts w:eastAsia="Calibri" w:cs="Times New Roman"/>
          <w:bCs/>
          <w:color w:val="000000"/>
          <w:sz w:val="22"/>
          <w:szCs w:val="22"/>
        </w:rPr>
        <w:t xml:space="preserve"> y 6 de diciembre de 2022</w:t>
      </w:r>
      <w:r w:rsidR="0078025E">
        <w:rPr>
          <w:rFonts w:eastAsia="Calibri" w:cs="Times New Roman"/>
          <w:bCs/>
          <w:color w:val="000000"/>
          <w:sz w:val="22"/>
          <w:szCs w:val="22"/>
        </w:rPr>
        <w:t>,</w:t>
      </w:r>
      <w:r>
        <w:rPr>
          <w:rFonts w:eastAsia="Calibri" w:cs="Times New Roman"/>
          <w:bCs/>
          <w:color w:val="000000"/>
          <w:sz w:val="22"/>
          <w:szCs w:val="22"/>
        </w:rPr>
        <w:t xml:space="preserve"> respectivamente.</w:t>
      </w:r>
    </w:p>
    <w:p w14:paraId="7F0AF8DC" w14:textId="77777777" w:rsidR="00B82D70" w:rsidRPr="005863FC" w:rsidRDefault="00B82D70" w:rsidP="00B82D70">
      <w:pPr>
        <w:spacing w:before="0" w:after="0"/>
        <w:rPr>
          <w:rFonts w:eastAsia="Calibri" w:cs="Times New Roman"/>
          <w:bCs/>
          <w:color w:val="000000"/>
          <w:sz w:val="22"/>
          <w:szCs w:val="22"/>
        </w:rPr>
      </w:pPr>
    </w:p>
    <w:p w14:paraId="62FA1C8F" w14:textId="77777777" w:rsidR="00B82D70" w:rsidRPr="005863FC" w:rsidRDefault="00B82D70" w:rsidP="00B82D70">
      <w:pPr>
        <w:spacing w:before="0" w:after="0"/>
        <w:rPr>
          <w:rFonts w:eastAsia="Calibri" w:cs="Times New Roman"/>
          <w:bCs/>
          <w:color w:val="000000"/>
          <w:sz w:val="22"/>
          <w:szCs w:val="22"/>
        </w:rPr>
      </w:pPr>
      <w:r w:rsidRPr="005863FC">
        <w:rPr>
          <w:rFonts w:eastAsia="Calibri" w:cs="Times New Roman"/>
          <w:bCs/>
          <w:color w:val="000000"/>
          <w:sz w:val="22"/>
          <w:szCs w:val="22"/>
        </w:rPr>
        <w:t xml:space="preserve">Algunas de las cifras, están sujetas al programa de depuración iniciado con motivo de la implementación de la armonización de la contabilidad en el Estado y de acuerdo </w:t>
      </w:r>
      <w:r w:rsidR="00485F96">
        <w:rPr>
          <w:rFonts w:eastAsia="Calibri" w:cs="Times New Roman"/>
          <w:bCs/>
          <w:color w:val="000000"/>
          <w:sz w:val="22"/>
          <w:szCs w:val="22"/>
        </w:rPr>
        <w:t>con</w:t>
      </w:r>
      <w:r w:rsidRPr="005863FC">
        <w:rPr>
          <w:rFonts w:eastAsia="Calibri" w:cs="Times New Roman"/>
          <w:bCs/>
          <w:color w:val="000000"/>
          <w:sz w:val="22"/>
          <w:szCs w:val="22"/>
        </w:rPr>
        <w:t xml:space="preserve"> lo establecido en la Ley General de Contabilidad Gubernamental.</w:t>
      </w:r>
    </w:p>
    <w:p w14:paraId="302697E8" w14:textId="77777777" w:rsidR="00B82D70" w:rsidRPr="005863FC" w:rsidRDefault="00B82D70" w:rsidP="00B82D70">
      <w:pPr>
        <w:spacing w:before="0" w:after="0"/>
        <w:rPr>
          <w:rFonts w:eastAsia="Calibri" w:cs="Times New Roman"/>
          <w:bCs/>
          <w:color w:val="000000"/>
          <w:sz w:val="22"/>
          <w:szCs w:val="22"/>
        </w:rPr>
      </w:pPr>
    </w:p>
    <w:p w14:paraId="539E5FB8" w14:textId="64905DF1" w:rsidR="00B82D70" w:rsidRDefault="00B82D70" w:rsidP="00B82D70">
      <w:pPr>
        <w:spacing w:before="0" w:after="0"/>
        <w:rPr>
          <w:rFonts w:eastAsia="Calibri" w:cs="Times New Roman"/>
          <w:bCs/>
          <w:color w:val="000000"/>
          <w:sz w:val="22"/>
          <w:szCs w:val="22"/>
        </w:rPr>
      </w:pPr>
      <w:r w:rsidRPr="005863FC">
        <w:rPr>
          <w:rFonts w:eastAsia="Calibri" w:cs="Times New Roman"/>
          <w:bCs/>
          <w:color w:val="000000"/>
          <w:sz w:val="22"/>
          <w:szCs w:val="22"/>
        </w:rPr>
        <w:t xml:space="preserve">De conformidad con la citada Ley, así como </w:t>
      </w:r>
      <w:r w:rsidR="00485F96">
        <w:rPr>
          <w:rFonts w:eastAsia="Calibri" w:cs="Times New Roman"/>
          <w:bCs/>
          <w:color w:val="000000"/>
          <w:sz w:val="22"/>
          <w:szCs w:val="22"/>
        </w:rPr>
        <w:t xml:space="preserve">con </w:t>
      </w:r>
      <w:r w:rsidRPr="005863FC">
        <w:rPr>
          <w:rFonts w:eastAsia="Calibri" w:cs="Times New Roman"/>
          <w:bCs/>
          <w:color w:val="000000"/>
          <w:sz w:val="22"/>
          <w:szCs w:val="22"/>
        </w:rPr>
        <w:t>la normativ</w:t>
      </w:r>
      <w:r w:rsidR="001C365F">
        <w:rPr>
          <w:rFonts w:eastAsia="Calibri" w:cs="Times New Roman"/>
          <w:bCs/>
          <w:color w:val="000000"/>
          <w:sz w:val="22"/>
          <w:szCs w:val="22"/>
        </w:rPr>
        <w:t xml:space="preserve">a </w:t>
      </w:r>
      <w:r w:rsidRPr="005863FC">
        <w:rPr>
          <w:rFonts w:eastAsia="Calibri" w:cs="Times New Roman"/>
          <w:bCs/>
          <w:color w:val="000000"/>
          <w:sz w:val="22"/>
          <w:szCs w:val="22"/>
        </w:rPr>
        <w:t>emitida por el Consejo Nacional de Armonización Contable, a continuación, se presentan las notas que acompañan a los estados financieros, a saber:</w:t>
      </w:r>
    </w:p>
    <w:p w14:paraId="7DCAF7C6" w14:textId="77777777" w:rsidR="00DE384C" w:rsidRPr="007E286C" w:rsidRDefault="00DE384C" w:rsidP="00B82D70">
      <w:pPr>
        <w:spacing w:before="0" w:after="0"/>
        <w:rPr>
          <w:rFonts w:eastAsia="Calibri" w:cs="Times New Roman"/>
          <w:bCs/>
          <w:color w:val="000000"/>
          <w:sz w:val="22"/>
          <w:szCs w:val="22"/>
        </w:rPr>
      </w:pPr>
    </w:p>
    <w:p w14:paraId="26DDA75F" w14:textId="77777777" w:rsidR="00BD4F6A" w:rsidRDefault="00BD4F6A">
      <w:pPr>
        <w:numPr>
          <w:ilvl w:val="0"/>
          <w:numId w:val="3"/>
        </w:numPr>
        <w:spacing w:before="0" w:after="0"/>
        <w:ind w:left="709"/>
        <w:jc w:val="left"/>
        <w:rPr>
          <w:rFonts w:eastAsia="Times New Roman" w:cs="Times New Roman"/>
          <w:bCs/>
          <w:color w:val="000000"/>
          <w:sz w:val="22"/>
          <w:szCs w:val="22"/>
          <w:lang w:eastAsia="es-MX"/>
        </w:rPr>
      </w:pPr>
      <w:r w:rsidRPr="005863FC">
        <w:rPr>
          <w:rFonts w:eastAsia="Times New Roman" w:cs="Times New Roman"/>
          <w:bCs/>
          <w:color w:val="000000"/>
          <w:sz w:val="22"/>
          <w:szCs w:val="22"/>
          <w:lang w:eastAsia="es-MX"/>
        </w:rPr>
        <w:t>Notas de gestión administrativa</w:t>
      </w:r>
      <w:r w:rsidRPr="007E286C">
        <w:rPr>
          <w:rFonts w:eastAsia="Times New Roman" w:cs="Times New Roman"/>
          <w:bCs/>
          <w:color w:val="000000"/>
          <w:sz w:val="22"/>
          <w:szCs w:val="22"/>
          <w:lang w:eastAsia="es-MX"/>
        </w:rPr>
        <w:t xml:space="preserve"> </w:t>
      </w:r>
    </w:p>
    <w:p w14:paraId="6E905047" w14:textId="4F0424B5" w:rsidR="00B82D70" w:rsidRPr="007E286C" w:rsidRDefault="00B82D70">
      <w:pPr>
        <w:numPr>
          <w:ilvl w:val="0"/>
          <w:numId w:val="3"/>
        </w:numPr>
        <w:spacing w:before="0" w:after="0"/>
        <w:ind w:left="709"/>
        <w:jc w:val="left"/>
        <w:rPr>
          <w:rFonts w:eastAsia="Times New Roman" w:cs="Times New Roman"/>
          <w:bCs/>
          <w:color w:val="000000"/>
          <w:sz w:val="22"/>
          <w:szCs w:val="22"/>
          <w:lang w:eastAsia="es-MX"/>
        </w:rPr>
      </w:pPr>
      <w:r w:rsidRPr="007E286C">
        <w:rPr>
          <w:rFonts w:eastAsia="Times New Roman" w:cs="Times New Roman"/>
          <w:bCs/>
          <w:color w:val="000000"/>
          <w:sz w:val="22"/>
          <w:szCs w:val="22"/>
          <w:lang w:eastAsia="es-MX"/>
        </w:rPr>
        <w:t>Notas de desglose</w:t>
      </w:r>
      <w:r w:rsidR="00BD4F6A">
        <w:rPr>
          <w:rFonts w:eastAsia="Times New Roman" w:cs="Times New Roman"/>
          <w:bCs/>
          <w:color w:val="000000"/>
          <w:sz w:val="22"/>
          <w:szCs w:val="22"/>
          <w:lang w:eastAsia="es-MX"/>
        </w:rPr>
        <w:t>, y</w:t>
      </w:r>
    </w:p>
    <w:p w14:paraId="31649C9E" w14:textId="77777777" w:rsidR="00B82D70" w:rsidRPr="005863FC" w:rsidRDefault="00B82D70">
      <w:pPr>
        <w:numPr>
          <w:ilvl w:val="0"/>
          <w:numId w:val="3"/>
        </w:numPr>
        <w:spacing w:before="0" w:after="0"/>
        <w:ind w:left="709"/>
        <w:jc w:val="left"/>
        <w:rPr>
          <w:rFonts w:eastAsia="Times New Roman" w:cs="Times New Roman"/>
          <w:bCs/>
          <w:color w:val="000000"/>
          <w:sz w:val="22"/>
          <w:szCs w:val="22"/>
          <w:lang w:eastAsia="es-MX"/>
        </w:rPr>
      </w:pPr>
      <w:r w:rsidRPr="005863FC">
        <w:rPr>
          <w:rFonts w:eastAsia="Times New Roman" w:cs="Times New Roman"/>
          <w:bCs/>
          <w:color w:val="000000"/>
          <w:sz w:val="22"/>
          <w:szCs w:val="22"/>
          <w:lang w:eastAsia="es-MX"/>
        </w:rPr>
        <w:t>Notas de memoria.</w:t>
      </w:r>
    </w:p>
    <w:p w14:paraId="573BF512" w14:textId="77777777" w:rsidR="00B82D70" w:rsidRPr="007E286C" w:rsidRDefault="00B82D70" w:rsidP="00B82D70">
      <w:pPr>
        <w:spacing w:before="0" w:after="0"/>
        <w:jc w:val="center"/>
        <w:rPr>
          <w:rFonts w:eastAsia="Calibri" w:cs="Times New Roman"/>
          <w:b/>
          <w:sz w:val="22"/>
          <w:szCs w:val="22"/>
        </w:rPr>
      </w:pPr>
    </w:p>
    <w:p w14:paraId="3235A25C" w14:textId="77777777" w:rsidR="00B82D70" w:rsidRDefault="00B82D70" w:rsidP="00B82D70">
      <w:pPr>
        <w:rPr>
          <w:rFonts w:eastAsia="Calibri" w:cs="Times New Roman"/>
          <w:b/>
        </w:rPr>
      </w:pPr>
      <w:r>
        <w:rPr>
          <w:rFonts w:eastAsia="Calibri" w:cs="Times New Roman"/>
          <w:b/>
        </w:rPr>
        <w:br w:type="page"/>
      </w:r>
    </w:p>
    <w:p w14:paraId="3ECDE942" w14:textId="77777777" w:rsidR="00BD4F6A" w:rsidRPr="008830EE" w:rsidRDefault="00BD4F6A" w:rsidP="00BD4F6A">
      <w:pPr>
        <w:spacing w:before="0" w:after="0"/>
        <w:jc w:val="center"/>
        <w:rPr>
          <w:rFonts w:eastAsia="Calibri" w:cs="Times New Roman"/>
          <w:b/>
          <w:sz w:val="28"/>
          <w:szCs w:val="28"/>
        </w:rPr>
      </w:pPr>
      <w:r>
        <w:rPr>
          <w:rFonts w:eastAsia="Calibri" w:cs="Times New Roman"/>
          <w:b/>
          <w:sz w:val="28"/>
          <w:szCs w:val="28"/>
        </w:rPr>
        <w:lastRenderedPageBreak/>
        <w:t xml:space="preserve">C) </w:t>
      </w:r>
      <w:r w:rsidRPr="008830EE">
        <w:rPr>
          <w:rFonts w:eastAsia="Calibri" w:cs="Times New Roman"/>
          <w:b/>
          <w:sz w:val="28"/>
          <w:szCs w:val="28"/>
        </w:rPr>
        <w:t>NOTAS DE GESTIÓN ADMINISTRATIVA</w:t>
      </w:r>
    </w:p>
    <w:p w14:paraId="7C7A6822" w14:textId="77777777" w:rsidR="00BD4F6A" w:rsidRDefault="00BD4F6A" w:rsidP="00BD4F6A">
      <w:pPr>
        <w:spacing w:before="0" w:after="0"/>
        <w:rPr>
          <w:rFonts w:ascii="GalanoGrotesque-ExtraLight" w:eastAsia="Calibri" w:hAnsi="GalanoGrotesque-ExtraLight" w:cs="Times New Roman"/>
          <w:b/>
          <w:sz w:val="22"/>
          <w:szCs w:val="22"/>
        </w:rPr>
      </w:pPr>
    </w:p>
    <w:p w14:paraId="7EF9D469" w14:textId="60EA9736" w:rsidR="00BD4F6A" w:rsidRPr="00290880" w:rsidRDefault="00BD4F6A" w:rsidP="00BD4F6A">
      <w:pPr>
        <w:spacing w:before="0" w:after="0"/>
        <w:rPr>
          <w:rFonts w:eastAsia="Calibri" w:cs="Times New Roman"/>
          <w:b/>
          <w:bCs/>
          <w:sz w:val="22"/>
          <w:szCs w:val="22"/>
        </w:rPr>
      </w:pPr>
      <w:r w:rsidRPr="00290880">
        <w:rPr>
          <w:rFonts w:eastAsia="Calibri" w:cs="Times New Roman"/>
          <w:b/>
          <w:bCs/>
          <w:sz w:val="22"/>
          <w:szCs w:val="22"/>
        </w:rPr>
        <w:t>Introducción</w:t>
      </w:r>
    </w:p>
    <w:p w14:paraId="5156CE48" w14:textId="77777777" w:rsidR="00BD4F6A" w:rsidRDefault="00BD4F6A" w:rsidP="00BD4F6A">
      <w:pPr>
        <w:spacing w:before="0" w:after="0"/>
        <w:jc w:val="left"/>
        <w:rPr>
          <w:rFonts w:eastAsia="Calibri" w:cs="Times New Roman"/>
          <w:sz w:val="22"/>
          <w:szCs w:val="22"/>
        </w:rPr>
      </w:pPr>
    </w:p>
    <w:p w14:paraId="0A349007" w14:textId="77777777" w:rsidR="00BD4F6A" w:rsidRPr="00AE1050" w:rsidRDefault="00BD4F6A" w:rsidP="00BD4F6A">
      <w:pPr>
        <w:spacing w:after="0"/>
        <w:rPr>
          <w:rFonts w:eastAsia="Calibri" w:cs="Times New Roman"/>
        </w:rPr>
      </w:pPr>
      <w:r w:rsidRPr="00AE1050">
        <w:rPr>
          <w:rFonts w:eastAsia="Calibri" w:cs="Times New Roman"/>
          <w:sz w:val="22"/>
          <w:szCs w:val="22"/>
        </w:rPr>
        <w:t xml:space="preserve">Los Estados Financieros de los entes públicos, proveen de información financiera a los principales usuarios </w:t>
      </w:r>
      <w:r>
        <w:rPr>
          <w:rFonts w:eastAsia="Calibri" w:cs="Times New Roman"/>
          <w:sz w:val="22"/>
          <w:szCs w:val="22"/>
        </w:rPr>
        <w:t xml:space="preserve">de la misma, </w:t>
      </w:r>
      <w:r w:rsidRPr="00BE4DE3">
        <w:rPr>
          <w:rFonts w:eastAsia="Calibri" w:cs="Times New Roman"/>
          <w:sz w:val="22"/>
          <w:szCs w:val="22"/>
        </w:rPr>
        <w:t xml:space="preserve">entre ellos está el H. Congreso del Estado de Michoacán, así como la ciudadanía en general que demanda información sobre la situación contable del </w:t>
      </w:r>
      <w:r w:rsidRPr="00AE1050">
        <w:rPr>
          <w:rFonts w:eastAsia="Calibri" w:cs="Times New Roman"/>
          <w:sz w:val="22"/>
          <w:szCs w:val="22"/>
        </w:rPr>
        <w:t xml:space="preserve">Poder Ejecutivo. </w:t>
      </w:r>
    </w:p>
    <w:p w14:paraId="1D86174A" w14:textId="77777777" w:rsidR="00BD4F6A" w:rsidRPr="00AE1050" w:rsidRDefault="00BD4F6A" w:rsidP="00BD4F6A">
      <w:pPr>
        <w:spacing w:after="0"/>
        <w:rPr>
          <w:rFonts w:eastAsia="Calibri" w:cs="Times New Roman"/>
          <w:sz w:val="22"/>
          <w:szCs w:val="22"/>
        </w:rPr>
      </w:pPr>
    </w:p>
    <w:p w14:paraId="3C3834F2" w14:textId="43444CED" w:rsidR="00BD4F6A" w:rsidRPr="00AE1050" w:rsidRDefault="00BD4F6A" w:rsidP="00BD4F6A">
      <w:pPr>
        <w:spacing w:after="0"/>
        <w:rPr>
          <w:rFonts w:eastAsia="Calibri" w:cs="Times New Roman"/>
        </w:rPr>
      </w:pPr>
      <w:r w:rsidRPr="00AE1050">
        <w:rPr>
          <w:rFonts w:eastAsia="Calibri" w:cs="Times New Roman"/>
          <w:sz w:val="22"/>
          <w:szCs w:val="22"/>
        </w:rPr>
        <w:t>El objetivo del presente documento es la revelación del contexto y de los aspectos económicos financieros más relevantes que influyeron en las decisiones del período, que comprende del 1 de enero al 3</w:t>
      </w:r>
      <w:r w:rsidR="00856294">
        <w:rPr>
          <w:rFonts w:eastAsia="Calibri" w:cs="Times New Roman"/>
          <w:sz w:val="22"/>
          <w:szCs w:val="22"/>
        </w:rPr>
        <w:t>1</w:t>
      </w:r>
      <w:r w:rsidRPr="00AE1050">
        <w:rPr>
          <w:rFonts w:eastAsia="Calibri" w:cs="Times New Roman"/>
          <w:sz w:val="22"/>
          <w:szCs w:val="22"/>
        </w:rPr>
        <w:t xml:space="preserve"> de </w:t>
      </w:r>
      <w:r w:rsidR="00856294">
        <w:rPr>
          <w:rFonts w:eastAsia="Calibri" w:cs="Times New Roman"/>
          <w:sz w:val="22"/>
          <w:szCs w:val="22"/>
        </w:rPr>
        <w:t xml:space="preserve">diciembre </w:t>
      </w:r>
      <w:r w:rsidRPr="00AE1050">
        <w:rPr>
          <w:rFonts w:eastAsia="Calibri" w:cs="Times New Roman"/>
          <w:sz w:val="22"/>
          <w:szCs w:val="22"/>
        </w:rPr>
        <w:t>de 202</w:t>
      </w:r>
      <w:r>
        <w:rPr>
          <w:rFonts w:eastAsia="Calibri" w:cs="Times New Roman"/>
          <w:sz w:val="22"/>
          <w:szCs w:val="22"/>
        </w:rPr>
        <w:t>2</w:t>
      </w:r>
      <w:r w:rsidRPr="00AE1050">
        <w:rPr>
          <w:rFonts w:eastAsia="Calibri" w:cs="Times New Roman"/>
          <w:sz w:val="22"/>
          <w:szCs w:val="22"/>
        </w:rPr>
        <w:t xml:space="preserve">, y que se consideraron en la elaboración de los Estados Financieros para la mayor comprensión de los mismos y sus particularidades. </w:t>
      </w:r>
    </w:p>
    <w:p w14:paraId="5353F131" w14:textId="77777777" w:rsidR="00BD4F6A" w:rsidRPr="00AE1050" w:rsidRDefault="00BD4F6A" w:rsidP="00BD4F6A">
      <w:pPr>
        <w:spacing w:after="0"/>
        <w:rPr>
          <w:rFonts w:eastAsia="Calibri" w:cs="Times New Roman"/>
          <w:sz w:val="22"/>
          <w:szCs w:val="22"/>
        </w:rPr>
      </w:pPr>
    </w:p>
    <w:p w14:paraId="5658D75D" w14:textId="77777777" w:rsidR="00BD4F6A" w:rsidRPr="003E7E17" w:rsidRDefault="00BD4F6A" w:rsidP="00BD4F6A">
      <w:pPr>
        <w:spacing w:after="0"/>
        <w:rPr>
          <w:rFonts w:eastAsia="Calibri" w:cs="Times New Roman"/>
        </w:rPr>
      </w:pPr>
      <w:r w:rsidRPr="00AE1050">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294B0093" w14:textId="77777777" w:rsidR="00BD4F6A" w:rsidRPr="009E0D2E" w:rsidRDefault="00BD4F6A" w:rsidP="00BD4F6A">
      <w:pPr>
        <w:spacing w:before="0" w:after="0"/>
        <w:jc w:val="left"/>
        <w:rPr>
          <w:rFonts w:eastAsia="Calibri" w:cs="Times New Roman"/>
          <w:sz w:val="22"/>
          <w:szCs w:val="22"/>
        </w:rPr>
      </w:pPr>
    </w:p>
    <w:p w14:paraId="3D61CF8F"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w:t>
      </w:r>
      <w:r w:rsidRPr="009E0D2E">
        <w:rPr>
          <w:rFonts w:eastAsia="Calibri" w:cs="Times New Roman"/>
          <w:sz w:val="22"/>
          <w:szCs w:val="22"/>
        </w:rPr>
        <w:lastRenderedPageBreak/>
        <w:t xml:space="preserve">modifiquen el Patrimonio, considerando en su registro contable las características administrativas descentralizadas. </w:t>
      </w:r>
    </w:p>
    <w:p w14:paraId="6C6477B7" w14:textId="77777777" w:rsidR="00BD4F6A" w:rsidRPr="009E0D2E" w:rsidRDefault="00BD4F6A" w:rsidP="00BD4F6A">
      <w:pPr>
        <w:spacing w:before="0" w:after="0"/>
        <w:rPr>
          <w:rFonts w:eastAsia="Calibri" w:cs="Times New Roman"/>
          <w:sz w:val="22"/>
          <w:szCs w:val="22"/>
        </w:rPr>
      </w:pPr>
    </w:p>
    <w:p w14:paraId="65518E5B" w14:textId="2E281B1B" w:rsidR="00BD4F6A" w:rsidRDefault="00BD4F6A" w:rsidP="00BD4F6A">
      <w:pPr>
        <w:spacing w:before="0" w:after="0"/>
        <w:rPr>
          <w:rFonts w:eastAsia="Calibri" w:cs="Times New Roman"/>
          <w:sz w:val="22"/>
          <w:szCs w:val="22"/>
        </w:rPr>
      </w:pPr>
      <w:r w:rsidRPr="009E0D2E">
        <w:rPr>
          <w:rFonts w:eastAsia="Calibri" w:cs="Times New Roman"/>
          <w:sz w:val="22"/>
          <w:szCs w:val="22"/>
        </w:rPr>
        <w:t>En este contexto, en la normativa aplicable se establecen registros que permiten identificar la interrelación de las operaciones.</w:t>
      </w:r>
    </w:p>
    <w:p w14:paraId="53A49913" w14:textId="6C914591" w:rsidR="00367FCA" w:rsidRDefault="00367FCA" w:rsidP="00BD4F6A">
      <w:pPr>
        <w:spacing w:before="0" w:after="0"/>
        <w:rPr>
          <w:rFonts w:eastAsia="Calibri" w:cs="Times New Roman"/>
          <w:sz w:val="22"/>
          <w:szCs w:val="22"/>
        </w:rPr>
      </w:pPr>
    </w:p>
    <w:p w14:paraId="14A5284D" w14:textId="2A04E82D" w:rsidR="00367FCA" w:rsidRPr="00290880" w:rsidRDefault="00367FCA" w:rsidP="00367FCA">
      <w:pPr>
        <w:spacing w:before="0" w:after="0"/>
        <w:rPr>
          <w:rFonts w:eastAsia="Calibri" w:cs="Times New Roman"/>
          <w:b/>
          <w:sz w:val="22"/>
          <w:szCs w:val="22"/>
        </w:rPr>
      </w:pPr>
      <w:r>
        <w:rPr>
          <w:rFonts w:eastAsia="Calibri" w:cs="Times New Roman"/>
          <w:b/>
          <w:sz w:val="22"/>
          <w:szCs w:val="22"/>
        </w:rPr>
        <w:t>1</w:t>
      </w:r>
      <w:r w:rsidRPr="00290880">
        <w:rPr>
          <w:rFonts w:eastAsia="Calibri" w:cs="Times New Roman"/>
          <w:b/>
          <w:sz w:val="22"/>
          <w:szCs w:val="22"/>
        </w:rPr>
        <w:t>.</w:t>
      </w:r>
      <w:r w:rsidRPr="00290880">
        <w:rPr>
          <w:rFonts w:eastAsia="Calibri" w:cs="Times New Roman"/>
          <w:b/>
          <w:sz w:val="22"/>
          <w:szCs w:val="22"/>
        </w:rPr>
        <w:tab/>
        <w:t>Autorización e Historia</w:t>
      </w:r>
    </w:p>
    <w:p w14:paraId="1F07DC4E" w14:textId="194BC571" w:rsidR="00367FCA" w:rsidRDefault="00367FCA" w:rsidP="00367FCA">
      <w:pPr>
        <w:spacing w:before="0" w:after="0"/>
        <w:rPr>
          <w:rFonts w:eastAsia="Calibri" w:cs="Times New Roman"/>
          <w:b/>
          <w:sz w:val="22"/>
          <w:szCs w:val="22"/>
        </w:rPr>
      </w:pPr>
      <w:r w:rsidRPr="00290880">
        <w:rPr>
          <w:rFonts w:eastAsia="Calibri" w:cs="Times New Roman"/>
          <w:b/>
          <w:sz w:val="22"/>
          <w:szCs w:val="22"/>
        </w:rPr>
        <w:t>a) Fecha de creación:</w:t>
      </w:r>
    </w:p>
    <w:p w14:paraId="0AE23148" w14:textId="77777777" w:rsidR="00367FCA" w:rsidRPr="00E60996" w:rsidRDefault="00367FCA" w:rsidP="00367FCA">
      <w:pPr>
        <w:spacing w:before="0" w:after="0"/>
        <w:rPr>
          <w:rFonts w:eastAsia="Calibri" w:cs="Times New Roman"/>
          <w:b/>
          <w:sz w:val="22"/>
          <w:szCs w:val="22"/>
        </w:rPr>
      </w:pPr>
    </w:p>
    <w:p w14:paraId="0B9B5702" w14:textId="204EE274" w:rsidR="00367FCA" w:rsidRDefault="00367FCA" w:rsidP="00367FCA">
      <w:pPr>
        <w:rPr>
          <w:sz w:val="22"/>
          <w:szCs w:val="22"/>
        </w:rPr>
      </w:pPr>
      <w:r>
        <w:rPr>
          <w:sz w:val="22"/>
          <w:szCs w:val="22"/>
        </w:rPr>
        <w:t>S</w:t>
      </w:r>
      <w:r w:rsidRPr="00C81148">
        <w:rPr>
          <w:sz w:val="22"/>
          <w:szCs w:val="22"/>
        </w:rPr>
        <w:t>e creó el Estado Libre y Soberano de Michoacán, al expedirse el Acta Constitutiva de la Federación Mexicana, el 31 de enero de 1824, por decreto de la Cámara Constituyente de la Nación. El 6 de abril del mismo año, se instaló el Congreso Local Constituyente</w:t>
      </w:r>
      <w:r>
        <w:rPr>
          <w:sz w:val="22"/>
          <w:szCs w:val="22"/>
        </w:rPr>
        <w:t xml:space="preserve"> </w:t>
      </w:r>
      <w:r w:rsidRPr="001F77B1">
        <w:rPr>
          <w:sz w:val="22"/>
          <w:szCs w:val="22"/>
        </w:rPr>
        <w:t xml:space="preserve">El </w:t>
      </w:r>
      <w:r w:rsidR="00FD704C">
        <w:rPr>
          <w:sz w:val="22"/>
          <w:szCs w:val="22"/>
        </w:rPr>
        <w:t>E</w:t>
      </w:r>
      <w:r w:rsidRPr="001F77B1">
        <w:rPr>
          <w:sz w:val="22"/>
          <w:szCs w:val="22"/>
        </w:rPr>
        <w:t xml:space="preserve">stado fue dividido en 4 departamentos y 22 partidos, por decreto de la Ley Territorial de 1825, y el 19 de julio, se contó con su primera Constitución </w:t>
      </w:r>
      <w:r w:rsidR="00FD704C">
        <w:rPr>
          <w:sz w:val="22"/>
          <w:szCs w:val="22"/>
        </w:rPr>
        <w:t>P</w:t>
      </w:r>
      <w:r w:rsidRPr="001F77B1">
        <w:rPr>
          <w:sz w:val="22"/>
          <w:szCs w:val="22"/>
        </w:rPr>
        <w:t>olítica</w:t>
      </w:r>
      <w:r>
        <w:rPr>
          <w:sz w:val="22"/>
          <w:szCs w:val="22"/>
        </w:rPr>
        <w:t>.</w:t>
      </w:r>
    </w:p>
    <w:p w14:paraId="6165A3D1" w14:textId="77777777" w:rsidR="00367FCA" w:rsidRPr="00C81148" w:rsidRDefault="00367FCA" w:rsidP="00367FCA">
      <w:pPr>
        <w:rPr>
          <w:sz w:val="22"/>
          <w:szCs w:val="22"/>
        </w:rPr>
      </w:pPr>
    </w:p>
    <w:p w14:paraId="134A7CB1" w14:textId="77777777" w:rsidR="00367FCA" w:rsidRDefault="00367FCA" w:rsidP="00367FCA">
      <w:pPr>
        <w:spacing w:before="0" w:after="0"/>
        <w:rPr>
          <w:sz w:val="22"/>
          <w:szCs w:val="22"/>
        </w:rPr>
      </w:pPr>
      <w:r w:rsidRPr="00005C0C">
        <w:rPr>
          <w:sz w:val="22"/>
          <w:szCs w:val="22"/>
        </w:rPr>
        <w:t>El día 29 de septiembre de 2015 se publica en el Periódico Oficial del Estado la Ley Orgánica de la Administración Pública del Estado de Michoacán de Ocampo.</w:t>
      </w:r>
    </w:p>
    <w:p w14:paraId="2B9E5E21" w14:textId="77777777" w:rsidR="00367FCA" w:rsidRDefault="00367FCA" w:rsidP="00367FCA">
      <w:pPr>
        <w:spacing w:before="0" w:after="0"/>
        <w:rPr>
          <w:sz w:val="22"/>
          <w:szCs w:val="22"/>
        </w:rPr>
      </w:pPr>
    </w:p>
    <w:p w14:paraId="758DEAEE" w14:textId="69199006" w:rsidR="00367FCA" w:rsidRPr="00005C0C" w:rsidRDefault="00367FCA" w:rsidP="00367FCA">
      <w:pPr>
        <w:spacing w:before="0" w:after="0"/>
        <w:rPr>
          <w:sz w:val="22"/>
          <w:szCs w:val="22"/>
        </w:rPr>
      </w:pPr>
      <w:r>
        <w:rPr>
          <w:sz w:val="22"/>
          <w:szCs w:val="22"/>
        </w:rPr>
        <w:t>Actualmente, e</w:t>
      </w:r>
      <w:r w:rsidRPr="00DC0400">
        <w:rPr>
          <w:sz w:val="22"/>
          <w:szCs w:val="22"/>
        </w:rPr>
        <w:t xml:space="preserve">l </w:t>
      </w:r>
      <w:r w:rsidR="00FD704C">
        <w:rPr>
          <w:sz w:val="22"/>
          <w:szCs w:val="22"/>
        </w:rPr>
        <w:t>E</w:t>
      </w:r>
      <w:r w:rsidRPr="00DC0400">
        <w:rPr>
          <w:sz w:val="22"/>
          <w:szCs w:val="22"/>
        </w:rPr>
        <w:t xml:space="preserve">stado comprende 113 </w:t>
      </w:r>
      <w:r w:rsidR="00FD704C">
        <w:rPr>
          <w:sz w:val="22"/>
          <w:szCs w:val="22"/>
        </w:rPr>
        <w:t>M</w:t>
      </w:r>
      <w:r w:rsidRPr="00DC0400">
        <w:rPr>
          <w:sz w:val="22"/>
          <w:szCs w:val="22"/>
        </w:rPr>
        <w:t>unicipios</w:t>
      </w:r>
      <w:r>
        <w:rPr>
          <w:sz w:val="22"/>
          <w:szCs w:val="22"/>
        </w:rPr>
        <w:t>, con autonomía en cuanto a su gobierno interno.</w:t>
      </w:r>
    </w:p>
    <w:p w14:paraId="607AAF95" w14:textId="77777777" w:rsidR="00367FCA" w:rsidRPr="00005C0C" w:rsidRDefault="00367FCA" w:rsidP="00367FCA">
      <w:pPr>
        <w:spacing w:before="0" w:after="0"/>
        <w:rPr>
          <w:sz w:val="22"/>
          <w:szCs w:val="22"/>
        </w:rPr>
      </w:pPr>
    </w:p>
    <w:p w14:paraId="5DAEE289" w14:textId="77777777" w:rsidR="00367FCA" w:rsidRDefault="00367FCA" w:rsidP="00367FCA">
      <w:pPr>
        <w:spacing w:before="0" w:after="0"/>
        <w:rPr>
          <w:sz w:val="22"/>
          <w:szCs w:val="22"/>
        </w:rPr>
      </w:pPr>
      <w:r w:rsidRPr="00005C0C">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r>
        <w:rPr>
          <w:sz w:val="22"/>
          <w:szCs w:val="22"/>
        </w:rPr>
        <w:t>.</w:t>
      </w:r>
    </w:p>
    <w:p w14:paraId="193581D5" w14:textId="77777777" w:rsidR="00367FCA" w:rsidRDefault="00367FCA" w:rsidP="00367FCA">
      <w:pPr>
        <w:spacing w:before="0" w:after="0"/>
        <w:rPr>
          <w:sz w:val="22"/>
          <w:szCs w:val="22"/>
        </w:rPr>
      </w:pPr>
    </w:p>
    <w:p w14:paraId="601C867A" w14:textId="77777777" w:rsidR="00367FCA" w:rsidRPr="00290880" w:rsidRDefault="00367FCA" w:rsidP="00367FCA">
      <w:pPr>
        <w:spacing w:before="0" w:after="0"/>
        <w:rPr>
          <w:rFonts w:eastAsia="Calibri" w:cs="Times New Roman"/>
          <w:b/>
          <w:sz w:val="22"/>
          <w:szCs w:val="22"/>
        </w:rPr>
      </w:pPr>
      <w:r w:rsidRPr="00290880">
        <w:rPr>
          <w:rFonts w:eastAsia="Calibri" w:cs="Times New Roman"/>
          <w:b/>
          <w:sz w:val="22"/>
          <w:szCs w:val="22"/>
        </w:rPr>
        <w:t>b) Principales cambios en su estructura:</w:t>
      </w:r>
    </w:p>
    <w:p w14:paraId="415FD0AF" w14:textId="77777777" w:rsidR="00367FCA" w:rsidRDefault="00367FCA" w:rsidP="00367FCA">
      <w:pPr>
        <w:spacing w:before="0" w:after="0"/>
        <w:rPr>
          <w:rFonts w:ascii="GalanoGrotesque-ExtraLight" w:eastAsia="Calibri" w:hAnsi="GalanoGrotesque-ExtraLight" w:cs="Times New Roman"/>
          <w:b/>
          <w:sz w:val="22"/>
          <w:szCs w:val="22"/>
        </w:rPr>
      </w:pPr>
    </w:p>
    <w:p w14:paraId="0C8D85D3" w14:textId="36ABC795" w:rsidR="00367FCA" w:rsidRDefault="00367FCA" w:rsidP="00367FCA">
      <w:pPr>
        <w:spacing w:before="0" w:after="0"/>
        <w:rPr>
          <w:rFonts w:eastAsia="Calibri" w:cs="Times New Roman"/>
          <w:sz w:val="22"/>
          <w:szCs w:val="22"/>
        </w:rPr>
      </w:pPr>
      <w:r w:rsidRPr="00355C83">
        <w:rPr>
          <w:rFonts w:eastAsia="Calibri" w:cs="Times New Roman"/>
          <w:sz w:val="22"/>
          <w:szCs w:val="22"/>
        </w:rPr>
        <w:t>El 14 de octubre del 2017, se publicó en el Periódico Oficial del Gobierno del Estado, el Decreto mediante el cual se emite el Reglamento Interior de la Administración Pública Centralizada del Estado de Michoacán de Ocampo,</w:t>
      </w:r>
      <w:r>
        <w:rPr>
          <w:rFonts w:eastAsia="Calibri" w:cs="Times New Roman"/>
          <w:sz w:val="22"/>
          <w:szCs w:val="22"/>
        </w:rPr>
        <w:t xml:space="preserve"> </w:t>
      </w:r>
      <w:r w:rsidRPr="00355C83">
        <w:rPr>
          <w:rFonts w:eastAsia="Calibri" w:cs="Times New Roman"/>
          <w:sz w:val="22"/>
          <w:szCs w:val="22"/>
        </w:rPr>
        <w:t xml:space="preserve">al cual se le han realizado varias reformas siendo </w:t>
      </w:r>
      <w:r w:rsidRPr="00C86ADE">
        <w:rPr>
          <w:rFonts w:eastAsia="Calibri" w:cs="Times New Roman"/>
          <w:sz w:val="22"/>
          <w:szCs w:val="22"/>
        </w:rPr>
        <w:t xml:space="preserve">la última el </w:t>
      </w:r>
      <w:r w:rsidRPr="00796419">
        <w:rPr>
          <w:rFonts w:eastAsia="Calibri" w:cs="Times New Roman"/>
          <w:sz w:val="22"/>
          <w:szCs w:val="22"/>
        </w:rPr>
        <w:t>1</w:t>
      </w:r>
      <w:r>
        <w:rPr>
          <w:rFonts w:eastAsia="Calibri" w:cs="Times New Roman"/>
          <w:sz w:val="22"/>
          <w:szCs w:val="22"/>
        </w:rPr>
        <w:t>3</w:t>
      </w:r>
      <w:r w:rsidRPr="00796419">
        <w:rPr>
          <w:rFonts w:eastAsia="Calibri" w:cs="Times New Roman"/>
          <w:sz w:val="22"/>
          <w:szCs w:val="22"/>
        </w:rPr>
        <w:t xml:space="preserve"> de </w:t>
      </w:r>
      <w:r>
        <w:rPr>
          <w:rFonts w:eastAsia="Calibri" w:cs="Times New Roman"/>
          <w:sz w:val="22"/>
          <w:szCs w:val="22"/>
        </w:rPr>
        <w:t>septiem</w:t>
      </w:r>
      <w:r w:rsidRPr="00796419">
        <w:rPr>
          <w:rFonts w:eastAsia="Calibri" w:cs="Times New Roman"/>
          <w:sz w:val="22"/>
          <w:szCs w:val="22"/>
        </w:rPr>
        <w:t>bre de 202</w:t>
      </w:r>
      <w:r>
        <w:rPr>
          <w:rFonts w:eastAsia="Calibri" w:cs="Times New Roman"/>
          <w:sz w:val="22"/>
          <w:szCs w:val="22"/>
        </w:rPr>
        <w:t>1</w:t>
      </w:r>
      <w:r w:rsidRPr="00796419">
        <w:rPr>
          <w:rFonts w:eastAsia="Calibri" w:cs="Times New Roman"/>
          <w:sz w:val="22"/>
          <w:szCs w:val="22"/>
        </w:rPr>
        <w:t>,</w:t>
      </w:r>
      <w:r w:rsidRPr="00C86ADE">
        <w:rPr>
          <w:rFonts w:eastAsia="Calibri" w:cs="Times New Roman"/>
          <w:sz w:val="22"/>
          <w:szCs w:val="22"/>
        </w:rPr>
        <w:t xml:space="preserve">  mediante</w:t>
      </w:r>
      <w:r>
        <w:rPr>
          <w:rFonts w:eastAsia="Calibri" w:cs="Times New Roman"/>
          <w:sz w:val="22"/>
          <w:szCs w:val="22"/>
        </w:rPr>
        <w:t xml:space="preserve"> el cual</w:t>
      </w:r>
      <w:r w:rsidRPr="009E0D2E">
        <w:rPr>
          <w:rFonts w:eastAsia="Calibri" w:cs="Times New Roman"/>
          <w:sz w:val="22"/>
          <w:szCs w:val="22"/>
        </w:rPr>
        <w:t xml:space="preserve"> se realizaron diversas modificaciones a la estructura de la Secretaría de Finanzas y Administración, con la finalidad de focalizar las acciones estratégicas en la programación, presupuesto, inversión convenida, operación de fondos y valores, crédito, coordinación fiscal y de contabilidad</w:t>
      </w:r>
      <w:r>
        <w:rPr>
          <w:rFonts w:eastAsia="Calibri" w:cs="Times New Roman"/>
          <w:sz w:val="22"/>
          <w:szCs w:val="22"/>
        </w:rPr>
        <w:t xml:space="preserve"> gubernamental</w:t>
      </w:r>
      <w:r w:rsidRPr="009E0D2E">
        <w:rPr>
          <w:rFonts w:eastAsia="Calibri" w:cs="Times New Roman"/>
          <w:sz w:val="22"/>
          <w:szCs w:val="22"/>
        </w:rPr>
        <w:t xml:space="preserve">, así como para ser más eficientes en el proceso de identificación, control y registro de los bienes patrimoniales del Estado, asimismo, buscando promover en los servidores públicos una nueva cultura de profesionalización, de trabajo eficiente y eficaz centrado en el servicio al ciudadano, teniendo como eje la eficiencia en el ejercicio de los recursos públicos, mediante la reducción de gastos administrativos, sin menoscabo de los servicios que ofrece el </w:t>
      </w:r>
      <w:r w:rsidR="00EC54D6">
        <w:rPr>
          <w:rFonts w:eastAsia="Calibri" w:cs="Times New Roman"/>
          <w:sz w:val="22"/>
          <w:szCs w:val="22"/>
        </w:rPr>
        <w:t>E</w:t>
      </w:r>
      <w:r w:rsidRPr="009E0D2E">
        <w:rPr>
          <w:rFonts w:eastAsia="Calibri" w:cs="Times New Roman"/>
          <w:sz w:val="22"/>
          <w:szCs w:val="22"/>
        </w:rPr>
        <w:t>stado a través de esta Secretaría.</w:t>
      </w:r>
    </w:p>
    <w:p w14:paraId="2C53A2C1" w14:textId="77777777" w:rsidR="00367FCA" w:rsidRDefault="00367FCA" w:rsidP="00367FCA">
      <w:pPr>
        <w:spacing w:before="0" w:after="0"/>
        <w:rPr>
          <w:rFonts w:eastAsia="Calibri" w:cs="Times New Roman"/>
          <w:sz w:val="22"/>
          <w:szCs w:val="22"/>
        </w:rPr>
      </w:pPr>
    </w:p>
    <w:p w14:paraId="1F979B4F" w14:textId="77777777" w:rsidR="00367FCA" w:rsidRDefault="00367FCA" w:rsidP="00367FCA">
      <w:pPr>
        <w:spacing w:before="0" w:after="0"/>
        <w:rPr>
          <w:rFonts w:eastAsia="Calibri" w:cs="Times New Roman"/>
          <w:sz w:val="22"/>
          <w:szCs w:val="22"/>
        </w:rPr>
      </w:pPr>
      <w:r w:rsidRPr="00AF5504">
        <w:rPr>
          <w:rFonts w:eastAsia="Calibri" w:cs="Times New Roman"/>
          <w:sz w:val="22"/>
          <w:szCs w:val="22"/>
        </w:rPr>
        <w:t xml:space="preserve">Con fecha </w:t>
      </w:r>
      <w:r>
        <w:rPr>
          <w:rFonts w:eastAsia="Calibri" w:cs="Times New Roman"/>
          <w:sz w:val="22"/>
          <w:szCs w:val="22"/>
        </w:rPr>
        <w:t>8 de octubre de 2021</w:t>
      </w:r>
      <w:r w:rsidRPr="00E906F5">
        <w:rPr>
          <w:rFonts w:eastAsia="Calibri" w:cs="Times New Roman"/>
          <w:sz w:val="22"/>
          <w:szCs w:val="22"/>
        </w:rPr>
        <w:t>,</w:t>
      </w:r>
      <w:r w:rsidRPr="00AF5504">
        <w:rPr>
          <w:rFonts w:eastAsia="Calibri" w:cs="Times New Roman"/>
          <w:sz w:val="22"/>
          <w:szCs w:val="22"/>
        </w:rPr>
        <w:t xml:space="preserve"> se publicó la última reforma a la Ley Orgánica</w:t>
      </w:r>
      <w:r w:rsidRPr="009E0D2E">
        <w:rPr>
          <w:rFonts w:eastAsia="Calibri" w:cs="Times New Roman"/>
          <w:sz w:val="22"/>
          <w:szCs w:val="22"/>
        </w:rPr>
        <w:t xml:space="preserve"> de la Administración Pública del Estado de Michoacán de Ocampo en la cual, se realizaron cambios sustanciales a las dependencias del Ejecutivo Estatal, atendiendo a criterios de austeridad y eficiencia en el gasto público.</w:t>
      </w:r>
    </w:p>
    <w:p w14:paraId="162DED55" w14:textId="77777777" w:rsidR="00367FCA" w:rsidRDefault="00367FCA" w:rsidP="00367FCA">
      <w:pPr>
        <w:spacing w:before="0" w:after="0"/>
        <w:rPr>
          <w:rFonts w:eastAsia="Calibri" w:cs="Times New Roman"/>
          <w:sz w:val="22"/>
          <w:szCs w:val="22"/>
        </w:rPr>
      </w:pPr>
    </w:p>
    <w:p w14:paraId="7AF6A23A" w14:textId="1B7B1FEB" w:rsidR="00367FCA" w:rsidRDefault="00367FCA" w:rsidP="00367FCA">
      <w:pPr>
        <w:spacing w:before="0" w:after="0"/>
        <w:rPr>
          <w:rFonts w:eastAsia="Calibri" w:cs="Times New Roman"/>
          <w:sz w:val="22"/>
          <w:szCs w:val="22"/>
        </w:rPr>
      </w:pPr>
      <w:r>
        <w:rPr>
          <w:rFonts w:eastAsia="Calibri" w:cs="Times New Roman"/>
          <w:sz w:val="22"/>
          <w:szCs w:val="22"/>
        </w:rPr>
        <w:t xml:space="preserve">El 15 de febrero de 2022, se publicó el Reglamento Interior de la Secretaría de Finanzas y Administración, en la cual se otorgan y especifican las facultades para la aprobación de los estados financieros y la integración de los informes de avance trimestral y cuenta pública </w:t>
      </w:r>
      <w:r>
        <w:rPr>
          <w:rFonts w:eastAsia="Calibri" w:cs="Times New Roman"/>
          <w:sz w:val="22"/>
          <w:szCs w:val="22"/>
        </w:rPr>
        <w:lastRenderedPageBreak/>
        <w:t>anual de cada ejercicio fiscal.</w:t>
      </w:r>
      <w:r w:rsidR="006A12D0">
        <w:rPr>
          <w:rFonts w:eastAsia="Calibri" w:cs="Times New Roman"/>
          <w:sz w:val="22"/>
          <w:szCs w:val="22"/>
        </w:rPr>
        <w:t xml:space="preserve"> El 12 de diciembre de 2022, se realizaron modificaciones a dicho reglamento, con cambios sustanciales en materia de recaudación</w:t>
      </w:r>
      <w:r w:rsidR="00843B8D">
        <w:rPr>
          <w:rFonts w:eastAsia="Calibri" w:cs="Times New Roman"/>
          <w:sz w:val="22"/>
          <w:szCs w:val="22"/>
        </w:rPr>
        <w:t>, así como la emisión, en la misma fecha, del Manual de Organización de la S</w:t>
      </w:r>
      <w:r w:rsidR="00EC54D6">
        <w:rPr>
          <w:rFonts w:eastAsia="Calibri" w:cs="Times New Roman"/>
          <w:sz w:val="22"/>
          <w:szCs w:val="22"/>
        </w:rPr>
        <w:t xml:space="preserve">ecretaría de </w:t>
      </w:r>
      <w:r w:rsidR="00843B8D">
        <w:rPr>
          <w:rFonts w:eastAsia="Calibri" w:cs="Times New Roman"/>
          <w:sz w:val="22"/>
          <w:szCs w:val="22"/>
        </w:rPr>
        <w:t>F</w:t>
      </w:r>
      <w:r w:rsidR="00EC54D6">
        <w:rPr>
          <w:rFonts w:eastAsia="Calibri" w:cs="Times New Roman"/>
          <w:sz w:val="22"/>
          <w:szCs w:val="22"/>
        </w:rPr>
        <w:t xml:space="preserve">inanzas y </w:t>
      </w:r>
      <w:r w:rsidR="00843B8D">
        <w:rPr>
          <w:rFonts w:eastAsia="Calibri" w:cs="Times New Roman"/>
          <w:sz w:val="22"/>
          <w:szCs w:val="22"/>
        </w:rPr>
        <w:t>A</w:t>
      </w:r>
      <w:r w:rsidR="00EC54D6">
        <w:rPr>
          <w:rFonts w:eastAsia="Calibri" w:cs="Times New Roman"/>
          <w:sz w:val="22"/>
          <w:szCs w:val="22"/>
        </w:rPr>
        <w:t>dministración</w:t>
      </w:r>
      <w:r w:rsidR="006A12D0">
        <w:rPr>
          <w:rFonts w:eastAsia="Calibri" w:cs="Times New Roman"/>
          <w:sz w:val="22"/>
          <w:szCs w:val="22"/>
        </w:rPr>
        <w:t>.</w:t>
      </w:r>
    </w:p>
    <w:p w14:paraId="691F59C7" w14:textId="72C42399" w:rsidR="00843B8D" w:rsidRDefault="00843B8D" w:rsidP="00367FCA">
      <w:pPr>
        <w:spacing w:before="0" w:after="0"/>
        <w:rPr>
          <w:rFonts w:eastAsia="Calibri" w:cs="Times New Roman"/>
          <w:sz w:val="22"/>
          <w:szCs w:val="22"/>
        </w:rPr>
      </w:pPr>
    </w:p>
    <w:p w14:paraId="1C26B973" w14:textId="0256C156" w:rsidR="00367FCA" w:rsidRDefault="00843B8D" w:rsidP="00BD4F6A">
      <w:pPr>
        <w:spacing w:before="0" w:after="0"/>
        <w:rPr>
          <w:rFonts w:eastAsia="Calibri" w:cs="Times New Roman"/>
          <w:sz w:val="22"/>
          <w:szCs w:val="22"/>
        </w:rPr>
      </w:pPr>
      <w:r>
        <w:rPr>
          <w:rFonts w:eastAsia="Calibri" w:cs="Times New Roman"/>
          <w:sz w:val="22"/>
          <w:szCs w:val="22"/>
        </w:rPr>
        <w:t>El 14 de ju</w:t>
      </w:r>
      <w:r w:rsidR="000C2942">
        <w:rPr>
          <w:rFonts w:eastAsia="Calibri" w:cs="Times New Roman"/>
          <w:sz w:val="22"/>
          <w:szCs w:val="22"/>
        </w:rPr>
        <w:t>l</w:t>
      </w:r>
      <w:r>
        <w:rPr>
          <w:rFonts w:eastAsia="Calibri" w:cs="Times New Roman"/>
          <w:sz w:val="22"/>
          <w:szCs w:val="22"/>
        </w:rPr>
        <w:t xml:space="preserve">io de 2022 fue emitido </w:t>
      </w:r>
      <w:r w:rsidR="00DB7D82">
        <w:rPr>
          <w:rFonts w:eastAsia="Calibri" w:cs="Times New Roman"/>
          <w:sz w:val="22"/>
          <w:szCs w:val="22"/>
        </w:rPr>
        <w:t xml:space="preserve">el Manual </w:t>
      </w:r>
      <w:r>
        <w:rPr>
          <w:rFonts w:eastAsia="Calibri" w:cs="Times New Roman"/>
          <w:sz w:val="22"/>
          <w:szCs w:val="22"/>
        </w:rPr>
        <w:t>de Normas y Lineamientos para el Ejercicio y Control del Presupuesto de Egresos del Estado de Michoacán.</w:t>
      </w:r>
    </w:p>
    <w:p w14:paraId="04CF2209" w14:textId="77777777" w:rsidR="00BD4F6A" w:rsidRDefault="00BD4F6A" w:rsidP="00BD4F6A">
      <w:pPr>
        <w:spacing w:before="0" w:after="0"/>
        <w:rPr>
          <w:rFonts w:eastAsia="Calibri" w:cs="Times New Roman"/>
          <w:sz w:val="22"/>
          <w:szCs w:val="22"/>
        </w:rPr>
      </w:pPr>
    </w:p>
    <w:p w14:paraId="1959791B" w14:textId="77777777" w:rsidR="00BD4F6A" w:rsidRDefault="00BD4F6A" w:rsidP="00BD4F6A">
      <w:pPr>
        <w:spacing w:before="0" w:after="0"/>
        <w:rPr>
          <w:rFonts w:eastAsia="Calibri" w:cs="Times New Roman"/>
          <w:b/>
          <w:bCs/>
          <w:sz w:val="22"/>
          <w:szCs w:val="22"/>
        </w:rPr>
      </w:pPr>
      <w:r w:rsidRPr="001F270E">
        <w:rPr>
          <w:rFonts w:eastAsia="Calibri" w:cs="Times New Roman"/>
          <w:b/>
          <w:bCs/>
          <w:sz w:val="22"/>
          <w:szCs w:val="22"/>
        </w:rPr>
        <w:t>2.- Panorama económico y financiero</w:t>
      </w:r>
    </w:p>
    <w:p w14:paraId="51805FF8" w14:textId="74874ABB" w:rsidR="00B83DB5" w:rsidRDefault="00BD4F6A" w:rsidP="00BD4F6A">
      <w:pPr>
        <w:spacing w:before="0" w:after="0"/>
        <w:rPr>
          <w:rFonts w:eastAsia="Calibri" w:cs="Times New Roman"/>
          <w:sz w:val="22"/>
          <w:szCs w:val="22"/>
        </w:rPr>
      </w:pPr>
      <w:r w:rsidRPr="00A22C65">
        <w:rPr>
          <w:rFonts w:eastAsia="Calibri" w:cs="Times New Roman"/>
          <w:sz w:val="22"/>
          <w:szCs w:val="22"/>
        </w:rPr>
        <w:t xml:space="preserve">Conforme al informe financiero del </w:t>
      </w:r>
      <w:r w:rsidR="00B83DB5">
        <w:rPr>
          <w:rFonts w:eastAsia="Calibri" w:cs="Times New Roman"/>
          <w:sz w:val="22"/>
          <w:szCs w:val="22"/>
        </w:rPr>
        <w:t>tercer</w:t>
      </w:r>
      <w:r w:rsidRPr="00A22C65">
        <w:rPr>
          <w:rFonts w:eastAsia="Calibri" w:cs="Times New Roman"/>
          <w:sz w:val="22"/>
          <w:szCs w:val="22"/>
        </w:rPr>
        <w:t xml:space="preserve"> trimestre de 2022</w:t>
      </w:r>
      <w:r>
        <w:rPr>
          <w:rFonts w:eastAsia="Calibri" w:cs="Times New Roman"/>
          <w:sz w:val="22"/>
          <w:szCs w:val="22"/>
        </w:rPr>
        <w:t>, presentado por BA</w:t>
      </w:r>
      <w:r w:rsidR="0017724B">
        <w:rPr>
          <w:rFonts w:eastAsia="Calibri" w:cs="Times New Roman"/>
          <w:sz w:val="22"/>
          <w:szCs w:val="22"/>
        </w:rPr>
        <w:t>N</w:t>
      </w:r>
      <w:r>
        <w:rPr>
          <w:rFonts w:eastAsia="Calibri" w:cs="Times New Roman"/>
          <w:sz w:val="22"/>
          <w:szCs w:val="22"/>
        </w:rPr>
        <w:t>XICO, el panorama global del país se ha recrudecido entre los efectos post pandemia</w:t>
      </w:r>
      <w:r w:rsidR="00C77631">
        <w:rPr>
          <w:rFonts w:eastAsia="Calibri" w:cs="Times New Roman"/>
          <w:sz w:val="22"/>
          <w:szCs w:val="22"/>
        </w:rPr>
        <w:t>, la crisis de la economía estadounidense</w:t>
      </w:r>
      <w:r>
        <w:rPr>
          <w:rFonts w:eastAsia="Calibri" w:cs="Times New Roman"/>
          <w:sz w:val="22"/>
          <w:szCs w:val="22"/>
        </w:rPr>
        <w:t>, y el debilitamiento de la economía</w:t>
      </w:r>
      <w:r w:rsidR="00C77631">
        <w:rPr>
          <w:rFonts w:eastAsia="Calibri" w:cs="Times New Roman"/>
          <w:sz w:val="22"/>
          <w:szCs w:val="22"/>
        </w:rPr>
        <w:t xml:space="preserve"> a nivel global</w:t>
      </w:r>
      <w:r>
        <w:rPr>
          <w:rFonts w:eastAsia="Calibri" w:cs="Times New Roman"/>
          <w:sz w:val="22"/>
          <w:szCs w:val="22"/>
        </w:rPr>
        <w:t xml:space="preserve"> por el rompimiento de las cadenas de suministro, ocasionadas principalmente por el conflicto bélico Rusia-Ucrania. </w:t>
      </w:r>
    </w:p>
    <w:p w14:paraId="0E620900" w14:textId="77777777" w:rsidR="00B83DB5" w:rsidRDefault="00B83DB5" w:rsidP="00BD4F6A">
      <w:pPr>
        <w:spacing w:before="0" w:after="0"/>
        <w:rPr>
          <w:rFonts w:eastAsia="Calibri" w:cs="Times New Roman"/>
          <w:sz w:val="22"/>
          <w:szCs w:val="22"/>
        </w:rPr>
      </w:pPr>
    </w:p>
    <w:p w14:paraId="5B7C48A9" w14:textId="6B5862B2" w:rsidR="003A554C" w:rsidRDefault="00B83DB5" w:rsidP="00BD4F6A">
      <w:pPr>
        <w:spacing w:before="0" w:after="0"/>
        <w:rPr>
          <w:rFonts w:eastAsia="Calibri" w:cs="Times New Roman"/>
          <w:sz w:val="22"/>
          <w:szCs w:val="22"/>
        </w:rPr>
      </w:pPr>
      <w:r>
        <w:rPr>
          <w:rFonts w:eastAsia="Calibri" w:cs="Times New Roman"/>
          <w:sz w:val="22"/>
          <w:szCs w:val="22"/>
        </w:rPr>
        <w:t xml:space="preserve">Dichas contingencias </w:t>
      </w:r>
      <w:r w:rsidR="00312609">
        <w:rPr>
          <w:rFonts w:eastAsia="Calibri" w:cs="Times New Roman"/>
          <w:sz w:val="22"/>
          <w:szCs w:val="22"/>
        </w:rPr>
        <w:t>han</w:t>
      </w:r>
      <w:r>
        <w:rPr>
          <w:rFonts w:eastAsia="Calibri" w:cs="Times New Roman"/>
          <w:sz w:val="22"/>
          <w:szCs w:val="22"/>
        </w:rPr>
        <w:t xml:space="preserve"> afectado de manera negativa tanto a economías grandes como a las emergentes. </w:t>
      </w:r>
      <w:r w:rsidR="00C77631">
        <w:rPr>
          <w:rFonts w:eastAsia="Calibri" w:cs="Times New Roman"/>
          <w:sz w:val="22"/>
          <w:szCs w:val="22"/>
        </w:rPr>
        <w:t>A</w:t>
      </w:r>
      <w:r>
        <w:rPr>
          <w:rFonts w:eastAsia="Calibri" w:cs="Times New Roman"/>
          <w:sz w:val="22"/>
          <w:szCs w:val="22"/>
        </w:rPr>
        <w:t>lgunas están repuntando</w:t>
      </w:r>
      <w:r w:rsidR="003A554C">
        <w:rPr>
          <w:rFonts w:eastAsia="Calibri" w:cs="Times New Roman"/>
          <w:sz w:val="22"/>
          <w:szCs w:val="22"/>
        </w:rPr>
        <w:t xml:space="preserve"> hacía los niveles que tenían antes de la pandemia, sin embargo, México sigue teniendo efectos adversos, con una inflación promedio entre el 7.7% y el 8.52%, que en la primera quincena de noviembre se posicionó en 8.14%, mientras que la inflación subyacente anual se posicionó entre el 9.10% y el 10.08%. En el ejercicio 2022 no se logró el crecimiento esperado, y se espera que la recuperación total de la economía del país se </w:t>
      </w:r>
      <w:r w:rsidR="00C77631">
        <w:rPr>
          <w:rFonts w:eastAsia="Calibri" w:cs="Times New Roman"/>
          <w:sz w:val="22"/>
          <w:szCs w:val="22"/>
        </w:rPr>
        <w:t>logre</w:t>
      </w:r>
      <w:r w:rsidR="003A554C">
        <w:rPr>
          <w:rFonts w:eastAsia="Calibri" w:cs="Times New Roman"/>
          <w:sz w:val="22"/>
          <w:szCs w:val="22"/>
        </w:rPr>
        <w:t xml:space="preserve"> a partir del 3er trimestre de 2024.</w:t>
      </w:r>
    </w:p>
    <w:p w14:paraId="741345CA" w14:textId="77777777" w:rsidR="003A554C" w:rsidRDefault="003A554C" w:rsidP="00BD4F6A">
      <w:pPr>
        <w:spacing w:before="0" w:after="0"/>
        <w:rPr>
          <w:rFonts w:eastAsia="Calibri" w:cs="Times New Roman"/>
          <w:sz w:val="22"/>
          <w:szCs w:val="22"/>
        </w:rPr>
      </w:pPr>
    </w:p>
    <w:p w14:paraId="1887BF60" w14:textId="686C338B" w:rsidR="00BD4F6A" w:rsidRDefault="003A554C" w:rsidP="00BD4F6A">
      <w:pPr>
        <w:spacing w:before="0" w:after="0"/>
        <w:rPr>
          <w:rFonts w:eastAsia="Calibri" w:cs="Times New Roman"/>
          <w:sz w:val="22"/>
          <w:szCs w:val="22"/>
        </w:rPr>
      </w:pPr>
      <w:r>
        <w:rPr>
          <w:rFonts w:eastAsia="Calibri" w:cs="Times New Roman"/>
          <w:sz w:val="22"/>
          <w:szCs w:val="22"/>
        </w:rPr>
        <w:t xml:space="preserve">A nivel global, en Estados Unidos la economía </w:t>
      </w:r>
      <w:r w:rsidR="00DC5986">
        <w:rPr>
          <w:rFonts w:eastAsia="Calibri" w:cs="Times New Roman"/>
          <w:sz w:val="22"/>
          <w:szCs w:val="22"/>
        </w:rPr>
        <w:t>creció</w:t>
      </w:r>
      <w:r>
        <w:rPr>
          <w:rFonts w:eastAsia="Calibri" w:cs="Times New Roman"/>
          <w:sz w:val="22"/>
          <w:szCs w:val="22"/>
        </w:rPr>
        <w:t xml:space="preserve"> a un 0.6%, lo que incide positivamente en las exportaciones, creció en su producción industrial y mantuvo el desempleo en niveles bastante bajos. Mientras tanto, en la zona dominada por el Euro, se dio un crecimiento del </w:t>
      </w:r>
      <w:r>
        <w:rPr>
          <w:rFonts w:eastAsia="Calibri" w:cs="Times New Roman"/>
          <w:sz w:val="22"/>
          <w:szCs w:val="22"/>
        </w:rPr>
        <w:lastRenderedPageBreak/>
        <w:t>0.2%, lo que representó una desaceleración con respecto al ejercicio pasado que existió un crecimiento del 0.08%. Esta desaceleración se debe, principalmente, al conflicto bélico Rusia-Ucrania, que además h</w:t>
      </w:r>
      <w:r w:rsidR="00C77631">
        <w:rPr>
          <w:rFonts w:eastAsia="Calibri" w:cs="Times New Roman"/>
          <w:sz w:val="22"/>
          <w:szCs w:val="22"/>
        </w:rPr>
        <w:t>a</w:t>
      </w:r>
      <w:r>
        <w:rPr>
          <w:rFonts w:eastAsia="Calibri" w:cs="Times New Roman"/>
          <w:sz w:val="22"/>
          <w:szCs w:val="22"/>
        </w:rPr>
        <w:t xml:space="preserve"> generado una volatilidad en los mercados financieros mundiales y retrasos en las cadenas de suministros. Sin embargo, no ha sido tan grave como se esperaba, principalmente por las reservas </w:t>
      </w:r>
      <w:r w:rsidR="00730A0A">
        <w:rPr>
          <w:rFonts w:eastAsia="Calibri" w:cs="Times New Roman"/>
          <w:sz w:val="22"/>
          <w:szCs w:val="22"/>
        </w:rPr>
        <w:t>de combustibles</w:t>
      </w:r>
      <w:r w:rsidR="00C77631">
        <w:rPr>
          <w:rFonts w:eastAsia="Calibri" w:cs="Times New Roman"/>
          <w:sz w:val="22"/>
          <w:szCs w:val="22"/>
        </w:rPr>
        <w:t xml:space="preserve"> de varios países</w:t>
      </w:r>
      <w:r w:rsidR="00730A0A">
        <w:rPr>
          <w:rFonts w:eastAsia="Calibri" w:cs="Times New Roman"/>
          <w:sz w:val="22"/>
          <w:szCs w:val="22"/>
        </w:rPr>
        <w:t xml:space="preserve"> y porque las contingencias climatológicas no fueron tan desastrosas como se esperaba. China</w:t>
      </w:r>
      <w:r w:rsidR="00C77631">
        <w:rPr>
          <w:rFonts w:eastAsia="Calibri" w:cs="Times New Roman"/>
          <w:sz w:val="22"/>
          <w:szCs w:val="22"/>
        </w:rPr>
        <w:t>, en el continente asiático, por su parte,</w:t>
      </w:r>
      <w:r w:rsidR="00730A0A">
        <w:rPr>
          <w:rFonts w:eastAsia="Calibri" w:cs="Times New Roman"/>
          <w:sz w:val="22"/>
          <w:szCs w:val="22"/>
        </w:rPr>
        <w:t xml:space="preserve"> ha sido el país que más ha logrado recuperarse, logrando un importante crecimiento en su PIB, aunque su mercado de menudeo se ha visto debilitado</w:t>
      </w:r>
      <w:r w:rsidR="00C77631">
        <w:rPr>
          <w:rFonts w:eastAsia="Calibri" w:cs="Times New Roman"/>
          <w:sz w:val="22"/>
          <w:szCs w:val="22"/>
        </w:rPr>
        <w:t xml:space="preserve">. En el mismo sentido, </w:t>
      </w:r>
      <w:r w:rsidR="00730A0A">
        <w:rPr>
          <w:rFonts w:eastAsia="Calibri" w:cs="Times New Roman"/>
          <w:sz w:val="22"/>
          <w:szCs w:val="22"/>
        </w:rPr>
        <w:t>en el caso de América Latina, siguen las afectaciones</w:t>
      </w:r>
      <w:r w:rsidR="00C77631">
        <w:rPr>
          <w:rFonts w:eastAsia="Calibri" w:cs="Times New Roman"/>
          <w:sz w:val="22"/>
          <w:szCs w:val="22"/>
        </w:rPr>
        <w:t xml:space="preserve"> de manera negativa</w:t>
      </w:r>
      <w:r w:rsidR="00730A0A">
        <w:rPr>
          <w:rFonts w:eastAsia="Calibri" w:cs="Times New Roman"/>
          <w:sz w:val="22"/>
          <w:szCs w:val="22"/>
        </w:rPr>
        <w:t>, siendo el caso más importante la contracción económica en Chile.</w:t>
      </w:r>
    </w:p>
    <w:p w14:paraId="7A1A544E" w14:textId="5F2133A3" w:rsidR="00730A0A" w:rsidRDefault="00730A0A" w:rsidP="00BD4F6A">
      <w:pPr>
        <w:spacing w:before="0" w:after="0"/>
        <w:rPr>
          <w:rFonts w:eastAsia="Calibri" w:cs="Times New Roman"/>
          <w:sz w:val="22"/>
          <w:szCs w:val="22"/>
        </w:rPr>
      </w:pPr>
    </w:p>
    <w:p w14:paraId="17C6E56F" w14:textId="038F2D6C" w:rsidR="00730A0A" w:rsidRDefault="00730A0A" w:rsidP="00BD4F6A">
      <w:pPr>
        <w:spacing w:before="0" w:after="0"/>
        <w:rPr>
          <w:rFonts w:eastAsia="Calibri" w:cs="Times New Roman"/>
          <w:sz w:val="22"/>
          <w:szCs w:val="22"/>
        </w:rPr>
      </w:pPr>
      <w:r>
        <w:rPr>
          <w:rFonts w:eastAsia="Calibri" w:cs="Times New Roman"/>
          <w:sz w:val="22"/>
          <w:szCs w:val="22"/>
        </w:rPr>
        <w:t>Así pues, en lo general, la balanza de riesgos para perspectivas de crecimiento de la economía global, sigue sesgado a la baja con un elevado nivel de incertidumbre, lo que provoca costos más altos en financiamientos y materias primas.</w:t>
      </w:r>
    </w:p>
    <w:p w14:paraId="26CE2F33" w14:textId="4EF587E2" w:rsidR="00A80074" w:rsidRDefault="00A80074" w:rsidP="00BD4F6A">
      <w:pPr>
        <w:spacing w:before="0" w:after="0"/>
        <w:rPr>
          <w:rFonts w:eastAsia="Calibri" w:cs="Times New Roman"/>
          <w:sz w:val="22"/>
          <w:szCs w:val="22"/>
        </w:rPr>
      </w:pPr>
    </w:p>
    <w:p w14:paraId="3C6AC72D" w14:textId="71FF4A67" w:rsidR="00A80074" w:rsidRDefault="00C77631" w:rsidP="00BD4F6A">
      <w:pPr>
        <w:spacing w:before="0" w:after="0"/>
        <w:rPr>
          <w:rFonts w:eastAsia="Calibri" w:cs="Times New Roman"/>
          <w:sz w:val="22"/>
          <w:szCs w:val="22"/>
        </w:rPr>
      </w:pPr>
      <w:r>
        <w:rPr>
          <w:rFonts w:eastAsia="Calibri" w:cs="Times New Roman"/>
          <w:sz w:val="22"/>
          <w:szCs w:val="22"/>
        </w:rPr>
        <w:t>No obstante, y b</w:t>
      </w:r>
      <w:r w:rsidR="00A80074">
        <w:rPr>
          <w:rFonts w:eastAsia="Calibri" w:cs="Times New Roman"/>
          <w:sz w:val="22"/>
          <w:szCs w:val="22"/>
        </w:rPr>
        <w:t xml:space="preserve">ajo esta perspectiva, la economía mexicana se ha mantenido con una baja desocupación laboral, registrando un aumento de 3.22% en los movimientos del IMSS, pero también un aumento en la informalidad del 58.35%. Lo anterior significa </w:t>
      </w:r>
      <w:proofErr w:type="gramStart"/>
      <w:r w:rsidR="00A80074">
        <w:rPr>
          <w:rFonts w:eastAsia="Calibri" w:cs="Times New Roman"/>
          <w:sz w:val="22"/>
          <w:szCs w:val="22"/>
        </w:rPr>
        <w:t>que</w:t>
      </w:r>
      <w:proofErr w:type="gramEnd"/>
      <w:r w:rsidR="00A80074">
        <w:rPr>
          <w:rFonts w:eastAsia="Calibri" w:cs="Times New Roman"/>
          <w:sz w:val="22"/>
          <w:szCs w:val="22"/>
        </w:rPr>
        <w:t xml:space="preserve"> si bien se ha recuperado el empleo, ha aumentado la informalidad, debido, principalmente, a las presiones sobre los costos laborales que inciden en los costos de venta.</w:t>
      </w:r>
    </w:p>
    <w:p w14:paraId="22A69B64" w14:textId="6CA41714" w:rsidR="00A80074" w:rsidRDefault="00A80074" w:rsidP="00BD4F6A">
      <w:pPr>
        <w:spacing w:before="0" w:after="0"/>
        <w:rPr>
          <w:rFonts w:eastAsia="Calibri" w:cs="Times New Roman"/>
          <w:sz w:val="22"/>
          <w:szCs w:val="22"/>
        </w:rPr>
      </w:pPr>
    </w:p>
    <w:p w14:paraId="6E164C9B" w14:textId="3D4EBBD7" w:rsidR="00A80074" w:rsidRDefault="00A80074" w:rsidP="00BD4F6A">
      <w:pPr>
        <w:spacing w:before="0" w:after="0"/>
        <w:rPr>
          <w:rFonts w:eastAsia="Calibri" w:cs="Times New Roman"/>
          <w:sz w:val="22"/>
          <w:szCs w:val="22"/>
        </w:rPr>
      </w:pPr>
      <w:r>
        <w:rPr>
          <w:rFonts w:eastAsia="Calibri" w:cs="Times New Roman"/>
          <w:sz w:val="22"/>
          <w:szCs w:val="22"/>
        </w:rPr>
        <w:t>De igual manera, el salario promedio ha aumentado</w:t>
      </w:r>
      <w:r w:rsidR="00C77631" w:rsidRPr="00C77631">
        <w:rPr>
          <w:rFonts w:eastAsia="Calibri" w:cs="Times New Roman"/>
          <w:sz w:val="22"/>
          <w:szCs w:val="22"/>
        </w:rPr>
        <w:t xml:space="preserve"> </w:t>
      </w:r>
      <w:r w:rsidR="00C77631">
        <w:rPr>
          <w:rFonts w:eastAsia="Calibri" w:cs="Times New Roman"/>
          <w:sz w:val="22"/>
          <w:szCs w:val="22"/>
        </w:rPr>
        <w:t>en un 7.6%,</w:t>
      </w:r>
      <w:r>
        <w:rPr>
          <w:rFonts w:eastAsia="Calibri" w:cs="Times New Roman"/>
          <w:sz w:val="22"/>
          <w:szCs w:val="22"/>
        </w:rPr>
        <w:t xml:space="preserve"> tanto en el sector formal como en el informal, siendo más alto en el sector formal, ya que los afiliados al IMSS han visto en promedio un aumento del 11.4%, en todos los sectores, aunque más marcado en la </w:t>
      </w:r>
      <w:r>
        <w:rPr>
          <w:rFonts w:eastAsia="Calibri" w:cs="Times New Roman"/>
          <w:sz w:val="22"/>
          <w:szCs w:val="22"/>
        </w:rPr>
        <w:lastRenderedPageBreak/>
        <w:t xml:space="preserve">transformación, comercio, servicios para empresas, personas y hogares, así como construcción. </w:t>
      </w:r>
    </w:p>
    <w:p w14:paraId="524F3EB6" w14:textId="45259E17" w:rsidR="00A80074" w:rsidRDefault="00A80074" w:rsidP="00BD4F6A">
      <w:pPr>
        <w:spacing w:before="0" w:after="0"/>
        <w:rPr>
          <w:rFonts w:eastAsia="Calibri" w:cs="Times New Roman"/>
          <w:sz w:val="22"/>
          <w:szCs w:val="22"/>
        </w:rPr>
      </w:pPr>
    </w:p>
    <w:p w14:paraId="4F2EA741" w14:textId="58C1FFA1" w:rsidR="00A80074" w:rsidRDefault="006B0150" w:rsidP="006B0150">
      <w:pPr>
        <w:spacing w:before="0" w:after="0"/>
        <w:rPr>
          <w:rFonts w:eastAsia="Calibri" w:cs="Times New Roman"/>
          <w:sz w:val="22"/>
          <w:szCs w:val="22"/>
        </w:rPr>
      </w:pPr>
      <w:r w:rsidRPr="006B0150">
        <w:rPr>
          <w:rFonts w:eastAsia="Calibri" w:cs="Times New Roman"/>
          <w:sz w:val="22"/>
          <w:szCs w:val="22"/>
        </w:rPr>
        <w:t>En lo que concierne al Índice Nacional de Precios al Productor (INPP) excluyendo petróleo, su variación anual promedio bajó de 8.95% en el segundo trimestre de 2022 a 8.75% en el tercero, ubicándose en 7.10% en octubre de 2022. En el interior de este indicador, la variación anual promedio del componente de mercancías y servicios finales se mantuvo relativamente estable entre los trimestres mencionados, registrando niveles de 8.26 y 8.27%, respectivamente, situándose en 7.24% en octubre. En lo que se refiere al subíndice de mercancías y servicios de exportación, su cambio porcentual anual promedio disminuyó de 5.63 a 5.37% en los trimestres referidos, descendiendo a 3.51% en octubre de 2022. El subíndice de precios de bienes y servicios intermedios mostró una baja en su variación anual promedio, al pasar de 10.72 a 9.97% durante el mismo periodo trimestral, ubicándose en 6.72% en octubre</w:t>
      </w:r>
      <w:r>
        <w:rPr>
          <w:rFonts w:eastAsia="Calibri" w:cs="Times New Roman"/>
          <w:sz w:val="22"/>
          <w:szCs w:val="22"/>
        </w:rPr>
        <w:t>.</w:t>
      </w:r>
    </w:p>
    <w:p w14:paraId="2578A1AD" w14:textId="1FDF29B0" w:rsidR="006B0150" w:rsidRDefault="006B0150" w:rsidP="006B0150">
      <w:pPr>
        <w:spacing w:before="0" w:after="0"/>
        <w:rPr>
          <w:rFonts w:eastAsia="Calibri" w:cs="Times New Roman"/>
          <w:sz w:val="22"/>
          <w:szCs w:val="22"/>
        </w:rPr>
      </w:pPr>
    </w:p>
    <w:p w14:paraId="4457A294" w14:textId="34700A89" w:rsidR="006B0150" w:rsidRDefault="006B0150" w:rsidP="006B0150">
      <w:pPr>
        <w:spacing w:before="0" w:after="0"/>
        <w:rPr>
          <w:rFonts w:eastAsia="Calibri" w:cs="Times New Roman"/>
          <w:sz w:val="22"/>
          <w:szCs w:val="22"/>
        </w:rPr>
      </w:pPr>
      <w:r w:rsidRPr="006B0150">
        <w:rPr>
          <w:rFonts w:eastAsia="Calibri" w:cs="Times New Roman"/>
          <w:sz w:val="22"/>
          <w:szCs w:val="22"/>
        </w:rPr>
        <w:t>En contraste, la variación anual del subíndice de precios al productor de bienes finales para consumo interno aumentó entre los trimestres mencionados, al pasar de 10.31 a 11.95%, al tiempo que en octubre se ubicó en 12.54%. Este subíndice es de particular relevancia pues es el que tiene un mayor poder predictivo sobre la evolución de los precios de las mercancías al consumidor incluidas en el subíndice subyacente</w:t>
      </w:r>
      <w:r>
        <w:rPr>
          <w:rFonts w:eastAsia="Calibri" w:cs="Times New Roman"/>
          <w:sz w:val="22"/>
          <w:szCs w:val="22"/>
        </w:rPr>
        <w:t>. (Fuente: Informe Tercer Trimestre, BANXICO).</w:t>
      </w:r>
    </w:p>
    <w:p w14:paraId="624754E0" w14:textId="77777777" w:rsidR="006B0150" w:rsidRDefault="006B0150" w:rsidP="006B0150">
      <w:pPr>
        <w:spacing w:before="0" w:after="0"/>
        <w:rPr>
          <w:rFonts w:eastAsia="Calibri" w:cs="Times New Roman"/>
          <w:sz w:val="22"/>
          <w:szCs w:val="22"/>
        </w:rPr>
      </w:pPr>
    </w:p>
    <w:p w14:paraId="0B4267E6" w14:textId="04494A3E" w:rsidR="008A0103" w:rsidRDefault="006B0150" w:rsidP="006B0150">
      <w:pPr>
        <w:spacing w:before="0" w:after="0"/>
        <w:rPr>
          <w:rFonts w:eastAsia="Calibri" w:cs="Times New Roman"/>
          <w:sz w:val="22"/>
          <w:szCs w:val="22"/>
        </w:rPr>
      </w:pPr>
      <w:r>
        <w:rPr>
          <w:rFonts w:eastAsia="Calibri" w:cs="Times New Roman"/>
          <w:sz w:val="22"/>
          <w:szCs w:val="22"/>
        </w:rPr>
        <w:t>De esta manera, si bien los choques inflacionarios y las condiciones adversas a nivel mundial han afectado de manera negativa en la inflación del país, se anticipa que al cierre del ejercicio, una vez BA</w:t>
      </w:r>
      <w:r w:rsidR="00C77631">
        <w:rPr>
          <w:rFonts w:eastAsia="Calibri" w:cs="Times New Roman"/>
          <w:sz w:val="22"/>
          <w:szCs w:val="22"/>
        </w:rPr>
        <w:t>N</w:t>
      </w:r>
      <w:r>
        <w:rPr>
          <w:rFonts w:eastAsia="Calibri" w:cs="Times New Roman"/>
          <w:sz w:val="22"/>
          <w:szCs w:val="22"/>
        </w:rPr>
        <w:t xml:space="preserve">XICO recabe la información financiera, México habrá crecido en 2022 entre un 2.3 </w:t>
      </w:r>
      <w:r>
        <w:rPr>
          <w:rFonts w:eastAsia="Calibri" w:cs="Times New Roman"/>
          <w:sz w:val="22"/>
          <w:szCs w:val="22"/>
        </w:rPr>
        <w:lastRenderedPageBreak/>
        <w:t>y 3.2 % de su PIB y se espera un crecimiento</w:t>
      </w:r>
      <w:r w:rsidR="00C77631">
        <w:rPr>
          <w:rFonts w:eastAsia="Calibri" w:cs="Times New Roman"/>
          <w:sz w:val="22"/>
          <w:szCs w:val="22"/>
        </w:rPr>
        <w:t xml:space="preserve"> económico total</w:t>
      </w:r>
      <w:r>
        <w:rPr>
          <w:rFonts w:eastAsia="Calibri" w:cs="Times New Roman"/>
          <w:sz w:val="22"/>
          <w:szCs w:val="22"/>
        </w:rPr>
        <w:t xml:space="preserve"> de entre el 1.0 y 2.6</w:t>
      </w:r>
      <w:proofErr w:type="gramStart"/>
      <w:r>
        <w:rPr>
          <w:rFonts w:eastAsia="Calibri" w:cs="Times New Roman"/>
          <w:sz w:val="22"/>
          <w:szCs w:val="22"/>
        </w:rPr>
        <w:t>% ,</w:t>
      </w:r>
      <w:proofErr w:type="gramEnd"/>
      <w:r>
        <w:rPr>
          <w:rFonts w:eastAsia="Calibri" w:cs="Times New Roman"/>
          <w:sz w:val="22"/>
          <w:szCs w:val="22"/>
        </w:rPr>
        <w:t xml:space="preserve"> con una recuperación por parte de la demanda extern</w:t>
      </w:r>
      <w:r w:rsidR="008A0103">
        <w:rPr>
          <w:rFonts w:eastAsia="Calibri" w:cs="Times New Roman"/>
          <w:sz w:val="22"/>
          <w:szCs w:val="22"/>
        </w:rPr>
        <w:t>a, si mejora la economía global, en 2024.</w:t>
      </w:r>
    </w:p>
    <w:p w14:paraId="2FFA5703" w14:textId="77777777" w:rsidR="008A0103" w:rsidRDefault="008A0103" w:rsidP="006B0150">
      <w:pPr>
        <w:spacing w:before="0" w:after="0"/>
        <w:rPr>
          <w:rFonts w:eastAsia="Calibri" w:cs="Times New Roman"/>
          <w:sz w:val="22"/>
          <w:szCs w:val="22"/>
        </w:rPr>
      </w:pPr>
    </w:p>
    <w:p w14:paraId="2303D7D9" w14:textId="77777777" w:rsidR="008A0103" w:rsidRDefault="008A0103" w:rsidP="006B0150">
      <w:pPr>
        <w:spacing w:before="0" w:after="0"/>
        <w:rPr>
          <w:rFonts w:eastAsia="Calibri" w:cs="Times New Roman"/>
          <w:sz w:val="22"/>
          <w:szCs w:val="22"/>
        </w:rPr>
      </w:pPr>
      <w:r>
        <w:rPr>
          <w:rFonts w:eastAsia="Calibri" w:cs="Times New Roman"/>
          <w:sz w:val="22"/>
          <w:szCs w:val="22"/>
        </w:rPr>
        <w:t>Las anteriores previsiones, pueden verse afectadas por riesgos de crecimiento tales como: menor demanda externa, si existe recesión económica en Estados Unidos; que se prolonguen o intensifiquen las afectaciones al comercio y las cadenas de suministro, lo que incidiría en mayores costos de consumo y producción en diversos sectores de la economía; volatilidad en los mercados financieros internacionales que afecten los flujos de financiamiento a las economías emergentes; disrupciones en los mercados energético por los conflictos bélicos en Europa; que la recuperación de los gastos de inversión en nuestro país sean menores a lo esperado y; nuevas olas de pandemia.</w:t>
      </w:r>
    </w:p>
    <w:p w14:paraId="6D7250EC" w14:textId="77777777" w:rsidR="008A0103" w:rsidRDefault="008A0103" w:rsidP="006B0150">
      <w:pPr>
        <w:spacing w:before="0" w:after="0"/>
        <w:rPr>
          <w:rFonts w:eastAsia="Calibri" w:cs="Times New Roman"/>
          <w:sz w:val="22"/>
          <w:szCs w:val="22"/>
        </w:rPr>
      </w:pPr>
    </w:p>
    <w:p w14:paraId="4F4F157C" w14:textId="7501760E" w:rsidR="006B0150" w:rsidRDefault="008A0103" w:rsidP="006B0150">
      <w:pPr>
        <w:spacing w:before="0" w:after="0"/>
        <w:rPr>
          <w:rFonts w:eastAsia="Calibri" w:cs="Times New Roman"/>
          <w:sz w:val="22"/>
          <w:szCs w:val="22"/>
        </w:rPr>
      </w:pPr>
      <w:r>
        <w:rPr>
          <w:rFonts w:eastAsia="Calibri" w:cs="Times New Roman"/>
          <w:sz w:val="22"/>
          <w:szCs w:val="22"/>
        </w:rPr>
        <w:t xml:space="preserve">En contraste, </w:t>
      </w:r>
      <w:r w:rsidR="00C77631">
        <w:rPr>
          <w:rFonts w:eastAsia="Calibri" w:cs="Times New Roman"/>
          <w:sz w:val="22"/>
          <w:szCs w:val="22"/>
        </w:rPr>
        <w:t>las posibilidades</w:t>
      </w:r>
      <w:r>
        <w:rPr>
          <w:rFonts w:eastAsia="Calibri" w:cs="Times New Roman"/>
          <w:sz w:val="22"/>
          <w:szCs w:val="22"/>
        </w:rPr>
        <w:t xml:space="preserve"> de que las expectativas sean superadas</w:t>
      </w:r>
      <w:r w:rsidR="00010367">
        <w:rPr>
          <w:rFonts w:eastAsia="Calibri" w:cs="Times New Roman"/>
          <w:sz w:val="22"/>
          <w:szCs w:val="22"/>
        </w:rPr>
        <w:t xml:space="preserve"> se darían si el T-MEC hace ver más atractivo a nuestro país para la inversión extranjera, se mejoran las condiciones financieras globales, disminuyen los efectos de la pandemia y el conflicto bélico en Europa.</w:t>
      </w:r>
    </w:p>
    <w:p w14:paraId="1F2E5EF6" w14:textId="50FDD8A3" w:rsidR="00010367" w:rsidRDefault="00010367" w:rsidP="006B0150">
      <w:pPr>
        <w:spacing w:before="0" w:after="0"/>
        <w:rPr>
          <w:rFonts w:eastAsia="Calibri" w:cs="Times New Roman"/>
          <w:sz w:val="22"/>
          <w:szCs w:val="22"/>
        </w:rPr>
      </w:pPr>
    </w:p>
    <w:p w14:paraId="356CB3D1" w14:textId="2A1C3088" w:rsidR="00010367" w:rsidRDefault="00010367" w:rsidP="006B0150">
      <w:pPr>
        <w:spacing w:before="0" w:after="0"/>
        <w:rPr>
          <w:rFonts w:eastAsia="Calibri" w:cs="Times New Roman"/>
          <w:sz w:val="22"/>
          <w:szCs w:val="22"/>
        </w:rPr>
      </w:pPr>
      <w:r>
        <w:rPr>
          <w:rFonts w:eastAsia="Calibri" w:cs="Times New Roman"/>
          <w:sz w:val="22"/>
          <w:szCs w:val="22"/>
        </w:rPr>
        <w:t>Así pues, y a</w:t>
      </w:r>
      <w:r w:rsidR="00312609">
        <w:rPr>
          <w:rFonts w:eastAsia="Calibri" w:cs="Times New Roman"/>
          <w:sz w:val="22"/>
          <w:szCs w:val="22"/>
        </w:rPr>
        <w:t>ú</w:t>
      </w:r>
      <w:r>
        <w:rPr>
          <w:rFonts w:eastAsia="Calibri" w:cs="Times New Roman"/>
          <w:sz w:val="22"/>
          <w:szCs w:val="22"/>
        </w:rPr>
        <w:t xml:space="preserve">n con este panorama desfavorable, </w:t>
      </w:r>
      <w:r w:rsidR="00C77631">
        <w:rPr>
          <w:rFonts w:eastAsia="Calibri" w:cs="Times New Roman"/>
          <w:sz w:val="22"/>
          <w:szCs w:val="22"/>
        </w:rPr>
        <w:t xml:space="preserve">en el Gobierno del Estado de Michoacán </w:t>
      </w:r>
      <w:r>
        <w:rPr>
          <w:rFonts w:eastAsia="Calibri" w:cs="Times New Roman"/>
          <w:sz w:val="22"/>
          <w:szCs w:val="22"/>
        </w:rPr>
        <w:t>se presentan finanzas públicas que poco a poco van siendo saneadas</w:t>
      </w:r>
      <w:r w:rsidR="00CC4BDA">
        <w:rPr>
          <w:rFonts w:eastAsia="Calibri" w:cs="Times New Roman"/>
          <w:sz w:val="22"/>
          <w:szCs w:val="22"/>
        </w:rPr>
        <w:t>, mediante el pago de adeudos y proveedores;</w:t>
      </w:r>
      <w:r>
        <w:rPr>
          <w:rFonts w:eastAsia="Calibri" w:cs="Times New Roman"/>
          <w:sz w:val="22"/>
          <w:szCs w:val="22"/>
        </w:rPr>
        <w:t xml:space="preserve"> habiendo garantizado </w:t>
      </w:r>
      <w:r w:rsidR="000C7559">
        <w:rPr>
          <w:rFonts w:eastAsia="Calibri" w:cs="Times New Roman"/>
          <w:sz w:val="22"/>
          <w:szCs w:val="22"/>
        </w:rPr>
        <w:t xml:space="preserve">los pagos </w:t>
      </w:r>
      <w:r w:rsidR="00CC4BDA">
        <w:rPr>
          <w:rFonts w:eastAsia="Calibri" w:cs="Times New Roman"/>
          <w:sz w:val="22"/>
          <w:szCs w:val="22"/>
        </w:rPr>
        <w:t>de nóminas magisteriales, sindicalizadas y de burocracia; se coadyuvó a la</w:t>
      </w:r>
      <w:r w:rsidR="000C7559">
        <w:rPr>
          <w:rFonts w:eastAsia="Calibri" w:cs="Times New Roman"/>
          <w:sz w:val="22"/>
          <w:szCs w:val="22"/>
        </w:rPr>
        <w:t xml:space="preserve"> suficiencia </w:t>
      </w:r>
      <w:r w:rsidR="00CC4BDA">
        <w:rPr>
          <w:rFonts w:eastAsia="Calibri" w:cs="Times New Roman"/>
          <w:sz w:val="22"/>
          <w:szCs w:val="22"/>
        </w:rPr>
        <w:t>económica de la máxima casa de estudios, la Universidad Michoacana de San Nicolás de Hidalgo</w:t>
      </w:r>
      <w:r w:rsidR="00312609">
        <w:rPr>
          <w:rFonts w:eastAsia="Calibri" w:cs="Times New Roman"/>
          <w:sz w:val="22"/>
          <w:szCs w:val="22"/>
        </w:rPr>
        <w:t>.</w:t>
      </w:r>
    </w:p>
    <w:p w14:paraId="06C310CB" w14:textId="0467F525" w:rsidR="000C7559" w:rsidRDefault="000C7559" w:rsidP="006B0150">
      <w:pPr>
        <w:spacing w:before="0" w:after="0"/>
        <w:rPr>
          <w:rFonts w:eastAsia="Calibri" w:cs="Times New Roman"/>
          <w:sz w:val="22"/>
          <w:szCs w:val="22"/>
        </w:rPr>
      </w:pPr>
    </w:p>
    <w:p w14:paraId="2334452A" w14:textId="15C85CA1" w:rsidR="000C7559" w:rsidRDefault="00C77631" w:rsidP="006B0150">
      <w:pPr>
        <w:spacing w:before="0" w:after="0"/>
        <w:rPr>
          <w:rFonts w:eastAsia="Calibri" w:cs="Times New Roman"/>
          <w:sz w:val="22"/>
          <w:szCs w:val="22"/>
        </w:rPr>
      </w:pPr>
      <w:r>
        <w:rPr>
          <w:rFonts w:eastAsia="Calibri" w:cs="Times New Roman"/>
          <w:sz w:val="22"/>
          <w:szCs w:val="22"/>
        </w:rPr>
        <w:t>De igual manera</w:t>
      </w:r>
      <w:r w:rsidR="000C7559">
        <w:rPr>
          <w:rFonts w:eastAsia="Calibri" w:cs="Times New Roman"/>
          <w:sz w:val="22"/>
          <w:szCs w:val="22"/>
        </w:rPr>
        <w:t>, el pago de la deuda está garantizado y el nivel de endeudamiento se considera saludable, ya que en las evaluaciones que realiza la</w:t>
      </w:r>
      <w:r w:rsidR="00CC4BDA">
        <w:rPr>
          <w:rFonts w:eastAsia="Calibri" w:cs="Times New Roman"/>
          <w:sz w:val="22"/>
          <w:szCs w:val="22"/>
        </w:rPr>
        <w:t xml:space="preserve"> Unidad de Coordinación Fiscal </w:t>
      </w:r>
      <w:r w:rsidR="00CC4BDA">
        <w:rPr>
          <w:rFonts w:eastAsia="Calibri" w:cs="Times New Roman"/>
          <w:sz w:val="22"/>
          <w:szCs w:val="22"/>
        </w:rPr>
        <w:lastRenderedPageBreak/>
        <w:t>de la</w:t>
      </w:r>
      <w:r w:rsidR="000C7559">
        <w:rPr>
          <w:rFonts w:eastAsia="Calibri" w:cs="Times New Roman"/>
          <w:sz w:val="22"/>
          <w:szCs w:val="22"/>
        </w:rPr>
        <w:t xml:space="preserve"> Secretaría de Hacienda y Crédito Público, respecto del cumplimiento de la Ley de Disciplina Financiera, permaneciendo con semáforo verde.</w:t>
      </w:r>
    </w:p>
    <w:p w14:paraId="7B54051C" w14:textId="615502C6" w:rsidR="000C7559" w:rsidRDefault="000C7559" w:rsidP="006B0150">
      <w:pPr>
        <w:spacing w:before="0" w:after="0"/>
        <w:rPr>
          <w:rFonts w:eastAsia="Calibri" w:cs="Times New Roman"/>
          <w:sz w:val="22"/>
          <w:szCs w:val="22"/>
        </w:rPr>
      </w:pPr>
    </w:p>
    <w:p w14:paraId="15584CA9" w14:textId="5D39BCB5" w:rsidR="000C7559" w:rsidRDefault="000C7559" w:rsidP="006B0150">
      <w:pPr>
        <w:spacing w:before="0" w:after="0"/>
        <w:rPr>
          <w:rFonts w:eastAsia="Calibri" w:cs="Times New Roman"/>
          <w:sz w:val="22"/>
          <w:szCs w:val="22"/>
        </w:rPr>
      </w:pPr>
      <w:r>
        <w:rPr>
          <w:rFonts w:eastAsia="Calibri" w:cs="Times New Roman"/>
          <w:sz w:val="22"/>
          <w:szCs w:val="22"/>
        </w:rPr>
        <w:t>En el mismo orden de ideas, se implementaron políticas recaudatorias que permitieron un aumento a la recaudación de un 12% respecto del ejercicio anterior.</w:t>
      </w:r>
    </w:p>
    <w:p w14:paraId="02B529B2" w14:textId="77777777" w:rsidR="00BD4F6A" w:rsidRDefault="00BD4F6A" w:rsidP="00BD4F6A">
      <w:pPr>
        <w:spacing w:before="0" w:after="0"/>
        <w:rPr>
          <w:rFonts w:eastAsia="Calibri" w:cs="Times New Roman"/>
          <w:sz w:val="22"/>
          <w:szCs w:val="22"/>
        </w:rPr>
      </w:pPr>
    </w:p>
    <w:p w14:paraId="7B0D4583" w14:textId="6207572B" w:rsidR="00BD4F6A" w:rsidRPr="00290880" w:rsidRDefault="000C16C6" w:rsidP="00BD4F6A">
      <w:pPr>
        <w:spacing w:before="0" w:after="0"/>
        <w:rPr>
          <w:rFonts w:eastAsia="Calibri" w:cs="Times New Roman"/>
          <w:b/>
          <w:sz w:val="22"/>
          <w:szCs w:val="22"/>
        </w:rPr>
      </w:pPr>
      <w:r>
        <w:rPr>
          <w:rFonts w:eastAsia="Calibri" w:cs="Times New Roman"/>
          <w:b/>
          <w:sz w:val="22"/>
          <w:szCs w:val="22"/>
        </w:rPr>
        <w:t>3</w:t>
      </w:r>
      <w:r w:rsidR="00BD4F6A" w:rsidRPr="00290880">
        <w:rPr>
          <w:rFonts w:eastAsia="Calibri" w:cs="Times New Roman"/>
          <w:b/>
          <w:sz w:val="22"/>
          <w:szCs w:val="22"/>
        </w:rPr>
        <w:t>.</w:t>
      </w:r>
      <w:r w:rsidR="00BD4F6A" w:rsidRPr="00290880">
        <w:rPr>
          <w:rFonts w:eastAsia="Calibri" w:cs="Times New Roman"/>
          <w:b/>
          <w:sz w:val="22"/>
          <w:szCs w:val="22"/>
        </w:rPr>
        <w:tab/>
        <w:t>Organización y Objeto Social</w:t>
      </w:r>
    </w:p>
    <w:p w14:paraId="63C58D38" w14:textId="77777777" w:rsidR="00C77631" w:rsidRDefault="00C77631" w:rsidP="00BD4F6A">
      <w:pPr>
        <w:spacing w:before="0" w:after="0"/>
        <w:rPr>
          <w:rFonts w:eastAsia="Calibri" w:cs="Times New Roman"/>
          <w:sz w:val="22"/>
          <w:szCs w:val="22"/>
        </w:rPr>
      </w:pPr>
    </w:p>
    <w:p w14:paraId="4730A71B" w14:textId="1CBEEE38" w:rsidR="00BD4F6A" w:rsidRDefault="00BD4F6A" w:rsidP="00BD4F6A">
      <w:pPr>
        <w:spacing w:before="0" w:after="0"/>
        <w:rPr>
          <w:rFonts w:eastAsia="Calibri" w:cs="Times New Roman"/>
          <w:sz w:val="22"/>
          <w:szCs w:val="22"/>
        </w:rPr>
      </w:pPr>
      <w:r w:rsidRPr="008840D1">
        <w:rPr>
          <w:rFonts w:eastAsia="Calibri" w:cs="Times New Roman"/>
          <w:sz w:val="22"/>
          <w:szCs w:val="22"/>
        </w:rPr>
        <w:t>Se informa sobre:</w:t>
      </w:r>
    </w:p>
    <w:p w14:paraId="64DC1924" w14:textId="77777777" w:rsidR="00C77631" w:rsidRDefault="00C77631" w:rsidP="00BD4F6A">
      <w:pPr>
        <w:spacing w:before="0" w:after="0"/>
        <w:ind w:firstLine="360"/>
        <w:rPr>
          <w:rFonts w:eastAsia="Calibri" w:cs="Times New Roman"/>
          <w:b/>
          <w:bCs/>
          <w:sz w:val="22"/>
          <w:szCs w:val="22"/>
        </w:rPr>
      </w:pPr>
    </w:p>
    <w:p w14:paraId="30879299" w14:textId="1B45EE85"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a) Objeto Social</w:t>
      </w:r>
    </w:p>
    <w:p w14:paraId="7C9C8C4A" w14:textId="77777777" w:rsidR="00C77631" w:rsidRDefault="00C77631" w:rsidP="00BD4F6A">
      <w:pPr>
        <w:spacing w:before="0" w:after="0"/>
        <w:rPr>
          <w:rFonts w:eastAsia="Calibri" w:cs="Times New Roman"/>
          <w:sz w:val="22"/>
          <w:szCs w:val="22"/>
        </w:rPr>
      </w:pPr>
    </w:p>
    <w:p w14:paraId="5C0FBE9D" w14:textId="6ABD5616" w:rsidR="00BD4F6A" w:rsidRDefault="00BD4F6A" w:rsidP="00BD4F6A">
      <w:pPr>
        <w:spacing w:before="0" w:after="0"/>
        <w:rPr>
          <w:rFonts w:eastAsia="Calibri" w:cs="Times New Roman"/>
          <w:sz w:val="22"/>
          <w:szCs w:val="22"/>
        </w:rPr>
      </w:pPr>
      <w:r>
        <w:rPr>
          <w:rFonts w:eastAsia="Calibri" w:cs="Times New Roman"/>
          <w:sz w:val="22"/>
          <w:szCs w:val="22"/>
        </w:rPr>
        <w:t>El Gobierno de Michoacán tiene como objetivo y meta la de c</w:t>
      </w:r>
      <w:r w:rsidRPr="0038498E">
        <w:rPr>
          <w:rFonts w:eastAsia="Calibri" w:cs="Times New Roman"/>
          <w:sz w:val="22"/>
          <w:szCs w:val="22"/>
        </w:rPr>
        <w:t xml:space="preserve">oadyuvar en la generación del bienestar de las personas en el </w:t>
      </w:r>
      <w:r>
        <w:rPr>
          <w:rFonts w:eastAsia="Calibri" w:cs="Times New Roman"/>
          <w:sz w:val="22"/>
          <w:szCs w:val="22"/>
        </w:rPr>
        <w:t>E</w:t>
      </w:r>
      <w:r w:rsidRPr="0038498E">
        <w:rPr>
          <w:rFonts w:eastAsia="Calibri" w:cs="Times New Roman"/>
          <w:sz w:val="22"/>
          <w:szCs w:val="22"/>
        </w:rPr>
        <w:t>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r>
        <w:rPr>
          <w:rFonts w:eastAsia="Calibri" w:cs="Times New Roman"/>
          <w:sz w:val="22"/>
          <w:szCs w:val="22"/>
        </w:rPr>
        <w:t>.</w:t>
      </w:r>
    </w:p>
    <w:p w14:paraId="63106E5D" w14:textId="77777777" w:rsidR="00BD4F6A" w:rsidRDefault="00BD4F6A" w:rsidP="00BD4F6A">
      <w:pPr>
        <w:spacing w:before="0" w:after="0"/>
        <w:rPr>
          <w:rFonts w:eastAsia="Calibri" w:cs="Times New Roman"/>
          <w:sz w:val="22"/>
          <w:szCs w:val="22"/>
        </w:rPr>
      </w:pPr>
    </w:p>
    <w:p w14:paraId="0866E41E" w14:textId="77777777" w:rsidR="00BD4F6A" w:rsidRPr="008840D1" w:rsidRDefault="00BD4F6A" w:rsidP="00BD4F6A">
      <w:pPr>
        <w:spacing w:before="0" w:after="0"/>
        <w:rPr>
          <w:rFonts w:eastAsia="Calibri" w:cs="Times New Roman"/>
          <w:sz w:val="22"/>
          <w:szCs w:val="22"/>
        </w:rPr>
      </w:pPr>
      <w:r>
        <w:rPr>
          <w:rFonts w:eastAsia="Calibri" w:cs="Times New Roman"/>
          <w:sz w:val="22"/>
          <w:szCs w:val="22"/>
        </w:rPr>
        <w:t>Lo anterior con la visión de c</w:t>
      </w:r>
      <w:r w:rsidRPr="0038498E">
        <w:rPr>
          <w:rFonts w:eastAsia="Calibri" w:cs="Times New Roman"/>
          <w:sz w:val="22"/>
          <w:szCs w:val="22"/>
        </w:rPr>
        <w:t>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6E4A0FD0" w14:textId="77777777" w:rsidR="00BD4F6A" w:rsidRDefault="00BD4F6A" w:rsidP="00BD4F6A">
      <w:pPr>
        <w:spacing w:before="0" w:after="0"/>
        <w:ind w:firstLine="360"/>
        <w:rPr>
          <w:rFonts w:eastAsia="Calibri" w:cs="Times New Roman"/>
          <w:b/>
          <w:bCs/>
          <w:sz w:val="22"/>
          <w:szCs w:val="22"/>
        </w:rPr>
      </w:pPr>
    </w:p>
    <w:p w14:paraId="2A4D9241" w14:textId="2CC783FF"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lastRenderedPageBreak/>
        <w:t>b)  Principal Actividad:</w:t>
      </w:r>
    </w:p>
    <w:p w14:paraId="7CF08C78" w14:textId="77777777" w:rsidR="00BD4F6A" w:rsidRPr="00955D67" w:rsidRDefault="00BD4F6A" w:rsidP="00BD4F6A">
      <w:pPr>
        <w:pStyle w:val="Prrafodelista"/>
        <w:ind w:left="765"/>
        <w:rPr>
          <w:rFonts w:ascii="GalanoGrotesque-ExtraLight" w:eastAsia="Calibri" w:hAnsi="GalanoGrotesque-ExtraLight"/>
          <w:b/>
          <w:sz w:val="22"/>
          <w:szCs w:val="22"/>
        </w:rPr>
      </w:pPr>
    </w:p>
    <w:p w14:paraId="3349D506" w14:textId="77777777" w:rsidR="00BD4F6A" w:rsidRPr="00E60996" w:rsidRDefault="00BD4F6A" w:rsidP="00BD4F6A">
      <w:pPr>
        <w:rPr>
          <w:rFonts w:eastAsia="Calibri" w:cs="Times New Roman"/>
          <w:sz w:val="22"/>
          <w:szCs w:val="22"/>
        </w:rPr>
      </w:pPr>
      <w:r w:rsidRPr="00B37F41">
        <w:rPr>
          <w:rFonts w:eastAsia="Calibri" w:cs="Times New Roman"/>
          <w:sz w:val="22"/>
          <w:szCs w:val="22"/>
        </w:rPr>
        <w:t xml:space="preserve">Administrar </w:t>
      </w:r>
      <w:r>
        <w:rPr>
          <w:rFonts w:eastAsia="Calibri" w:cs="Times New Roman"/>
          <w:sz w:val="22"/>
          <w:szCs w:val="22"/>
        </w:rPr>
        <w:t>con calidad y eficiencia el sistema de ingresos, el ejercicio del gasto y la deuda pública, aplicando correcta y equitativamente las leyes y normas vigentes y contribuyendo el desarrollo económico del Estado.</w:t>
      </w:r>
    </w:p>
    <w:p w14:paraId="7805091E" w14:textId="77777777" w:rsidR="00D75F85" w:rsidRDefault="00D75F85" w:rsidP="00BD4F6A">
      <w:pPr>
        <w:spacing w:before="0" w:after="0"/>
        <w:ind w:firstLine="360"/>
        <w:rPr>
          <w:rFonts w:eastAsia="Calibri" w:cs="Times New Roman"/>
          <w:b/>
          <w:bCs/>
          <w:sz w:val="22"/>
          <w:szCs w:val="22"/>
        </w:rPr>
      </w:pPr>
    </w:p>
    <w:p w14:paraId="327E23B8" w14:textId="2D74E1BE"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c) Ejercicio Fiscal</w:t>
      </w:r>
    </w:p>
    <w:p w14:paraId="2C2D09D6" w14:textId="743BAE98" w:rsidR="00BD4F6A" w:rsidRDefault="00BD4F6A" w:rsidP="00BD4F6A">
      <w:pPr>
        <w:rPr>
          <w:rFonts w:eastAsia="Calibri" w:cs="Times New Roman"/>
          <w:sz w:val="22"/>
          <w:szCs w:val="22"/>
        </w:rPr>
      </w:pPr>
      <w:r w:rsidRPr="0081420F">
        <w:rPr>
          <w:rFonts w:eastAsia="Calibri" w:cs="Times New Roman"/>
          <w:sz w:val="22"/>
          <w:szCs w:val="22"/>
        </w:rPr>
        <w:t xml:space="preserve">Se informa </w:t>
      </w:r>
      <w:r>
        <w:rPr>
          <w:rFonts w:eastAsia="Calibri" w:cs="Times New Roman"/>
          <w:sz w:val="22"/>
          <w:szCs w:val="22"/>
        </w:rPr>
        <w:t>el periodo del 01 de enero al 3</w:t>
      </w:r>
      <w:r w:rsidR="00860C1E">
        <w:rPr>
          <w:rFonts w:eastAsia="Calibri" w:cs="Times New Roman"/>
          <w:sz w:val="22"/>
          <w:szCs w:val="22"/>
        </w:rPr>
        <w:t>1</w:t>
      </w:r>
      <w:r>
        <w:rPr>
          <w:rFonts w:eastAsia="Calibri" w:cs="Times New Roman"/>
          <w:sz w:val="22"/>
          <w:szCs w:val="22"/>
        </w:rPr>
        <w:t xml:space="preserve"> de </w:t>
      </w:r>
      <w:r w:rsidR="00860C1E">
        <w:rPr>
          <w:rFonts w:eastAsia="Calibri" w:cs="Times New Roman"/>
          <w:sz w:val="22"/>
          <w:szCs w:val="22"/>
        </w:rPr>
        <w:t>diciembre</w:t>
      </w:r>
      <w:r>
        <w:rPr>
          <w:rFonts w:eastAsia="Calibri" w:cs="Times New Roman"/>
          <w:sz w:val="22"/>
          <w:szCs w:val="22"/>
        </w:rPr>
        <w:t xml:space="preserve"> de 2022.</w:t>
      </w:r>
    </w:p>
    <w:p w14:paraId="675E03EB" w14:textId="77777777" w:rsidR="006A560C" w:rsidRDefault="006A560C" w:rsidP="00BD4F6A">
      <w:pPr>
        <w:spacing w:before="0" w:after="0"/>
        <w:ind w:firstLine="360"/>
        <w:rPr>
          <w:rFonts w:eastAsia="Calibri" w:cs="Times New Roman"/>
          <w:b/>
          <w:bCs/>
          <w:sz w:val="22"/>
          <w:szCs w:val="22"/>
        </w:rPr>
      </w:pPr>
    </w:p>
    <w:p w14:paraId="56DF0EDD" w14:textId="4A70E069"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d) Régimen Jurídico</w:t>
      </w:r>
    </w:p>
    <w:p w14:paraId="22549011" w14:textId="77777777" w:rsidR="00BD4F6A" w:rsidRPr="001F77B1" w:rsidRDefault="00BD4F6A" w:rsidP="00BD4F6A">
      <w:pPr>
        <w:spacing w:before="0" w:after="0"/>
        <w:rPr>
          <w:rFonts w:eastAsia="Calibri" w:cs="Times New Roman"/>
          <w:sz w:val="22"/>
          <w:szCs w:val="22"/>
        </w:rPr>
      </w:pPr>
      <w:r>
        <w:rPr>
          <w:rFonts w:eastAsia="Calibri" w:cs="Times New Roman"/>
          <w:sz w:val="22"/>
          <w:szCs w:val="22"/>
        </w:rPr>
        <w:t xml:space="preserve">El Estado de Michoacán es un </w:t>
      </w:r>
      <w:r w:rsidRPr="001F77B1">
        <w:rPr>
          <w:rFonts w:eastAsia="Calibri" w:cs="Times New Roman"/>
          <w:sz w:val="22"/>
          <w:szCs w:val="22"/>
        </w:rPr>
        <w:t>estado independiente, libre y soberano, en lo que exclusivamente toque a su administración y gobierno interior, que forma parte de la Federación de Estados Independientes denominados Estados Unidos Mexicanos</w:t>
      </w:r>
      <w:r>
        <w:rPr>
          <w:rFonts w:eastAsia="Calibri" w:cs="Times New Roman"/>
          <w:sz w:val="22"/>
          <w:szCs w:val="22"/>
        </w:rPr>
        <w:t xml:space="preserve"> </w:t>
      </w:r>
      <w:r w:rsidRPr="00C81148">
        <w:rPr>
          <w:sz w:val="22"/>
          <w:szCs w:val="22"/>
        </w:rPr>
        <w:t xml:space="preserve">y está constituido por la porción de territorio nacional que le reconozcan la Constitución Federal, las leyes y los convenios. </w:t>
      </w:r>
    </w:p>
    <w:p w14:paraId="21279B45" w14:textId="77777777" w:rsidR="00BD4F6A" w:rsidRPr="00C81148" w:rsidRDefault="00BD4F6A" w:rsidP="00BD4F6A">
      <w:pPr>
        <w:spacing w:before="0" w:after="0"/>
        <w:rPr>
          <w:sz w:val="22"/>
          <w:szCs w:val="22"/>
        </w:rPr>
      </w:pPr>
    </w:p>
    <w:p w14:paraId="077C574C" w14:textId="7977F47C" w:rsidR="00BD4F6A" w:rsidRPr="00C81148" w:rsidRDefault="00BD4F6A" w:rsidP="00BD4F6A">
      <w:pPr>
        <w:spacing w:before="0" w:after="0"/>
        <w:rPr>
          <w:sz w:val="22"/>
          <w:szCs w:val="22"/>
        </w:rPr>
      </w:pPr>
      <w:r>
        <w:rPr>
          <w:sz w:val="22"/>
          <w:szCs w:val="22"/>
        </w:rPr>
        <w:t>E</w:t>
      </w:r>
      <w:r w:rsidRPr="00C81148">
        <w:rPr>
          <w:sz w:val="22"/>
          <w:szCs w:val="22"/>
        </w:rPr>
        <w:t>l Pod</w:t>
      </w:r>
      <w:r>
        <w:rPr>
          <w:sz w:val="22"/>
          <w:szCs w:val="22"/>
        </w:rPr>
        <w:t>er Público del Estado se divide</w:t>
      </w:r>
      <w:r w:rsidRPr="00C81148">
        <w:rPr>
          <w:sz w:val="22"/>
          <w:szCs w:val="22"/>
        </w:rPr>
        <w:t xml:space="preserve"> para su ejercicio en Ejecutivo</w:t>
      </w:r>
      <w:r w:rsidR="00312609">
        <w:rPr>
          <w:sz w:val="22"/>
          <w:szCs w:val="22"/>
        </w:rPr>
        <w:t>,</w:t>
      </w:r>
      <w:r w:rsidR="00312609" w:rsidRPr="00312609">
        <w:rPr>
          <w:sz w:val="22"/>
          <w:szCs w:val="22"/>
        </w:rPr>
        <w:t xml:space="preserve"> </w:t>
      </w:r>
      <w:r w:rsidR="00312609" w:rsidRPr="00C81148">
        <w:rPr>
          <w:sz w:val="22"/>
          <w:szCs w:val="22"/>
        </w:rPr>
        <w:t>Legislativo</w:t>
      </w:r>
      <w:r w:rsidRPr="00C81148">
        <w:rPr>
          <w:sz w:val="22"/>
          <w:szCs w:val="22"/>
        </w:rPr>
        <w:t xml:space="preserve"> y Judicial, los cuales actuarán separada y libremente, pero cooperando, en forma armónica, a la realización de los fines del Estado.</w:t>
      </w:r>
    </w:p>
    <w:p w14:paraId="482DBF0C" w14:textId="77777777" w:rsidR="00BD4F6A" w:rsidRPr="00C81148" w:rsidRDefault="00BD4F6A" w:rsidP="00BD4F6A">
      <w:pPr>
        <w:spacing w:before="0" w:after="0"/>
        <w:rPr>
          <w:sz w:val="22"/>
          <w:szCs w:val="22"/>
        </w:rPr>
      </w:pPr>
    </w:p>
    <w:p w14:paraId="1E07114B" w14:textId="77777777" w:rsidR="00BD4F6A" w:rsidRDefault="00BD4F6A" w:rsidP="00BD4F6A">
      <w:pPr>
        <w:spacing w:before="0" w:after="0"/>
        <w:rPr>
          <w:sz w:val="22"/>
          <w:szCs w:val="22"/>
        </w:rPr>
      </w:pPr>
      <w:r w:rsidRPr="00C81148">
        <w:rPr>
          <w:sz w:val="22"/>
          <w:szCs w:val="22"/>
        </w:rPr>
        <w:t>Se deposita el ejercicio del Poder Legislativo en una asamblea que se denominará: Congreso del Estado de Michoacán de Ocampo.</w:t>
      </w:r>
    </w:p>
    <w:p w14:paraId="102F2D3C" w14:textId="77777777" w:rsidR="00BD4F6A" w:rsidRDefault="00BD4F6A" w:rsidP="00BD4F6A">
      <w:pPr>
        <w:spacing w:before="0" w:after="0"/>
        <w:rPr>
          <w:rFonts w:eastAsia="Calibri" w:cs="Times New Roman"/>
          <w:sz w:val="22"/>
          <w:szCs w:val="22"/>
        </w:rPr>
      </w:pPr>
    </w:p>
    <w:p w14:paraId="0DEBF22E" w14:textId="77777777" w:rsidR="00AB23B4" w:rsidRDefault="00AB23B4" w:rsidP="00BD4F6A">
      <w:pPr>
        <w:spacing w:before="0" w:after="0"/>
        <w:ind w:firstLine="360"/>
        <w:rPr>
          <w:rFonts w:eastAsia="Calibri" w:cs="Times New Roman"/>
          <w:b/>
          <w:bCs/>
          <w:sz w:val="22"/>
          <w:szCs w:val="22"/>
        </w:rPr>
      </w:pPr>
    </w:p>
    <w:p w14:paraId="48BB177F" w14:textId="61E449B1"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lastRenderedPageBreak/>
        <w:t>e). Consideraciones fiscales del ente: revelar el tipo de contribuciones que esté obligado a pagar o retener.</w:t>
      </w:r>
    </w:p>
    <w:p w14:paraId="4C813230" w14:textId="77777777" w:rsidR="00BD4F6A" w:rsidRPr="00E60996" w:rsidRDefault="00BD4F6A" w:rsidP="00BD4F6A">
      <w:pPr>
        <w:spacing w:before="0" w:after="0"/>
        <w:rPr>
          <w:rFonts w:eastAsia="Calibri" w:cs="Times New Roman"/>
          <w:sz w:val="22"/>
          <w:szCs w:val="22"/>
        </w:rPr>
      </w:pPr>
    </w:p>
    <w:p w14:paraId="136F271E"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 e Ingresos por Arrendamiento de Bienes Inmuebles y en General por Otorgar el Uso o Goce Temporal de Bienes Inmuebles, respectivamente.</w:t>
      </w:r>
    </w:p>
    <w:p w14:paraId="2A3C6EE9" w14:textId="77777777" w:rsidR="00BD4F6A" w:rsidRPr="009E0D2E" w:rsidRDefault="00BD4F6A" w:rsidP="00BD4F6A">
      <w:pPr>
        <w:spacing w:before="0" w:after="0"/>
        <w:ind w:left="709"/>
        <w:rPr>
          <w:rFonts w:eastAsia="Calibri" w:cs="Times New Roman"/>
          <w:sz w:val="22"/>
          <w:szCs w:val="22"/>
        </w:rPr>
      </w:pPr>
    </w:p>
    <w:p w14:paraId="6B779F48"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672687A9" w14:textId="77777777" w:rsidR="00BD4F6A" w:rsidRDefault="00BD4F6A" w:rsidP="00BD4F6A">
      <w:pPr>
        <w:spacing w:before="0" w:after="0"/>
        <w:rPr>
          <w:rFonts w:eastAsia="Calibri" w:cs="Times New Roman"/>
          <w:sz w:val="22"/>
          <w:szCs w:val="22"/>
        </w:rPr>
      </w:pPr>
    </w:p>
    <w:p w14:paraId="4C2F5DFF"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72327A">
        <w:t xml:space="preserve"> </w:t>
      </w:r>
      <w:r w:rsidRPr="0072327A">
        <w:rPr>
          <w:rFonts w:eastAsia="Calibri" w:cs="Times New Roman"/>
          <w:sz w:val="22"/>
          <w:szCs w:val="22"/>
        </w:rPr>
        <w:t>la Dirección de Pensiones Civiles del Estado,</w:t>
      </w:r>
      <w:r w:rsidRPr="009E0D2E">
        <w:rPr>
          <w:rFonts w:eastAsia="Calibri" w:cs="Times New Roman"/>
          <w:sz w:val="22"/>
          <w:szCs w:val="22"/>
        </w:rPr>
        <w:t xml:space="preserve"> como del Instituto de Seguridad y Servicios Sociales de los Trabajadores del Estado, conforme a las disposiciones legales aplicables y los convenios respectivos.</w:t>
      </w:r>
    </w:p>
    <w:p w14:paraId="5035E64A" w14:textId="77777777" w:rsidR="00BD4F6A" w:rsidRPr="009E0D2E" w:rsidRDefault="00BD4F6A" w:rsidP="00BD4F6A">
      <w:pPr>
        <w:spacing w:before="0" w:after="0"/>
        <w:rPr>
          <w:rFonts w:eastAsia="Calibri" w:cs="Times New Roman"/>
          <w:sz w:val="22"/>
          <w:szCs w:val="22"/>
        </w:rPr>
      </w:pPr>
    </w:p>
    <w:p w14:paraId="3ED078E1"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Igualmente, es sujeto de diversas contribuciones municipales, tales como: el Impuesto Predial por aquellos inmuebles de dominio privado y el de Adquisición de Bienes al realizar compras de bienes para su uso de dominio privado; y del Impuesto </w:t>
      </w:r>
      <w:r w:rsidRPr="00CC2596">
        <w:rPr>
          <w:rFonts w:eastAsia="Calibri" w:cs="Times New Roman"/>
          <w:sz w:val="22"/>
          <w:szCs w:val="22"/>
        </w:rPr>
        <w:t xml:space="preserve">sobre Erogaciones </w:t>
      </w:r>
      <w:r w:rsidRPr="009E0D2E">
        <w:rPr>
          <w:rFonts w:eastAsia="Calibri" w:cs="Times New Roman"/>
          <w:sz w:val="22"/>
          <w:szCs w:val="22"/>
        </w:rPr>
        <w:t xml:space="preserve">por </w:t>
      </w:r>
      <w:r w:rsidRPr="009E0D2E">
        <w:rPr>
          <w:rFonts w:eastAsia="Calibri" w:cs="Times New Roman"/>
          <w:sz w:val="22"/>
          <w:szCs w:val="22"/>
        </w:rPr>
        <w:lastRenderedPageBreak/>
        <w:t>Remuneración al Trabajo Personal Prestado Bajo la Dirección y Dependencia de un Patrón, entre otros.</w:t>
      </w:r>
    </w:p>
    <w:p w14:paraId="5EBA1AF7" w14:textId="77777777" w:rsidR="00BD4F6A" w:rsidRPr="00E60996" w:rsidRDefault="00BD4F6A" w:rsidP="00BD4F6A">
      <w:pPr>
        <w:spacing w:before="0" w:after="0"/>
        <w:ind w:firstLine="360"/>
        <w:rPr>
          <w:rFonts w:eastAsia="Calibri" w:cs="Times New Roman"/>
          <w:sz w:val="22"/>
          <w:szCs w:val="22"/>
        </w:rPr>
      </w:pPr>
    </w:p>
    <w:p w14:paraId="24A95DA8" w14:textId="77777777" w:rsidR="00BD4F6A" w:rsidRPr="00E7156D" w:rsidRDefault="00BD4F6A" w:rsidP="00BD4F6A">
      <w:pPr>
        <w:spacing w:before="0" w:after="0"/>
        <w:ind w:firstLine="360"/>
        <w:rPr>
          <w:rFonts w:eastAsia="Calibri" w:cs="Times New Roman"/>
          <w:b/>
          <w:bCs/>
          <w:sz w:val="22"/>
          <w:szCs w:val="22"/>
        </w:rPr>
      </w:pPr>
      <w:r w:rsidRPr="00E7156D">
        <w:rPr>
          <w:rFonts w:eastAsia="Calibri" w:cs="Times New Roman"/>
          <w:b/>
          <w:bCs/>
          <w:sz w:val="22"/>
          <w:szCs w:val="22"/>
        </w:rPr>
        <w:t>f) Estructura organizacional básica</w:t>
      </w:r>
    </w:p>
    <w:p w14:paraId="736F55C8" w14:textId="77777777" w:rsidR="00D75F85" w:rsidRDefault="00D75F85" w:rsidP="00BD4F6A">
      <w:pPr>
        <w:spacing w:before="0" w:after="0"/>
        <w:rPr>
          <w:rFonts w:eastAsia="Calibri" w:cs="Times New Roman"/>
          <w:sz w:val="22"/>
          <w:szCs w:val="22"/>
        </w:rPr>
      </w:pPr>
    </w:p>
    <w:p w14:paraId="107ACD67" w14:textId="68FE00BE" w:rsidR="00BD4F6A" w:rsidRDefault="00BD4F6A" w:rsidP="00BD4F6A">
      <w:pPr>
        <w:spacing w:before="0" w:after="0"/>
        <w:rPr>
          <w:rFonts w:eastAsia="Calibri" w:cs="Times New Roman"/>
          <w:sz w:val="22"/>
          <w:szCs w:val="22"/>
        </w:rPr>
      </w:pPr>
      <w:r>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522693F3" w14:textId="77777777" w:rsidR="00BD4F6A" w:rsidRDefault="00BD4F6A" w:rsidP="00BD4F6A">
      <w:pPr>
        <w:spacing w:before="0" w:after="0"/>
        <w:rPr>
          <w:rFonts w:eastAsia="Calibri" w:cs="Times New Roman"/>
          <w:sz w:val="22"/>
          <w:szCs w:val="22"/>
        </w:rPr>
      </w:pPr>
    </w:p>
    <w:p w14:paraId="2D06BF93"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Las Dependencias centralizadas forman parte de la estructura organizacional y sirven </w:t>
      </w:r>
      <w:r w:rsidRPr="0038498E">
        <w:rPr>
          <w:rFonts w:eastAsia="Calibri" w:cs="Times New Roman"/>
          <w:sz w:val="22"/>
          <w:szCs w:val="22"/>
        </w:rPr>
        <w:t>para el despacho de los negocios del orden administrativo encomendados al Gobernador</w:t>
      </w:r>
      <w:r>
        <w:rPr>
          <w:rFonts w:eastAsia="Calibri" w:cs="Times New Roman"/>
          <w:sz w:val="22"/>
          <w:szCs w:val="22"/>
        </w:rPr>
        <w:t>, como se detallan a continuación:</w:t>
      </w:r>
    </w:p>
    <w:p w14:paraId="76F02C43"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Gobierno;</w:t>
      </w:r>
    </w:p>
    <w:p w14:paraId="76DEF994"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Finanzas y Administración;</w:t>
      </w:r>
    </w:p>
    <w:p w14:paraId="63198AB0"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Contraloría;</w:t>
      </w:r>
    </w:p>
    <w:p w14:paraId="65EA7FBD"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Seguridad Pública;</w:t>
      </w:r>
    </w:p>
    <w:p w14:paraId="703374E3"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Desarrollo Económico;</w:t>
      </w:r>
    </w:p>
    <w:p w14:paraId="011812A4"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Turismo;</w:t>
      </w:r>
    </w:p>
    <w:p w14:paraId="138FDFE5"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Agricultura y Desarrollo Rural;</w:t>
      </w:r>
    </w:p>
    <w:p w14:paraId="118CFE28"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Comunicaciones y Obras Públicas;</w:t>
      </w:r>
    </w:p>
    <w:p w14:paraId="68FEF8B7"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del Medio Ambiente;</w:t>
      </w:r>
    </w:p>
    <w:p w14:paraId="1898852C"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Desarrollo Urbano y Movilidad;</w:t>
      </w:r>
    </w:p>
    <w:p w14:paraId="2E39AE5F"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Educación;</w:t>
      </w:r>
    </w:p>
    <w:p w14:paraId="75E32DA1"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Cultura;</w:t>
      </w:r>
    </w:p>
    <w:p w14:paraId="275A5F65"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Salud;</w:t>
      </w:r>
    </w:p>
    <w:p w14:paraId="510A5A5E" w14:textId="77777777" w:rsidR="00BD4F6A" w:rsidRDefault="00BD4F6A" w:rsidP="00BD4F6A">
      <w:pPr>
        <w:spacing w:before="0" w:after="0"/>
        <w:rPr>
          <w:rFonts w:eastAsia="Calibri" w:cs="Times New Roman"/>
          <w:sz w:val="22"/>
          <w:szCs w:val="22"/>
        </w:rPr>
      </w:pPr>
      <w:r>
        <w:rPr>
          <w:rFonts w:eastAsia="Calibri" w:cs="Times New Roman"/>
          <w:sz w:val="22"/>
          <w:szCs w:val="22"/>
        </w:rPr>
        <w:lastRenderedPageBreak/>
        <w:t xml:space="preserve">- </w:t>
      </w:r>
      <w:r w:rsidRPr="0038498E">
        <w:rPr>
          <w:rFonts w:eastAsia="Calibri" w:cs="Times New Roman"/>
          <w:sz w:val="22"/>
          <w:szCs w:val="22"/>
        </w:rPr>
        <w:t>Secretaría del Bienestar;</w:t>
      </w:r>
    </w:p>
    <w:p w14:paraId="1539963A"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w:t>
      </w:r>
      <w:r>
        <w:rPr>
          <w:rFonts w:eastAsia="Calibri" w:cs="Times New Roman"/>
          <w:sz w:val="22"/>
          <w:szCs w:val="22"/>
        </w:rPr>
        <w:t>í</w:t>
      </w:r>
      <w:r w:rsidRPr="0038498E">
        <w:rPr>
          <w:rFonts w:eastAsia="Calibri" w:cs="Times New Roman"/>
          <w:sz w:val="22"/>
          <w:szCs w:val="22"/>
        </w:rPr>
        <w:t>a del Migrante; y,</w:t>
      </w:r>
    </w:p>
    <w:p w14:paraId="5D44ECE2"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Igualdad Sustantiva y Desarrollo de las Mujeres Michoacana</w:t>
      </w:r>
      <w:r>
        <w:rPr>
          <w:rFonts w:eastAsia="Calibri" w:cs="Times New Roman"/>
          <w:sz w:val="22"/>
          <w:szCs w:val="22"/>
        </w:rPr>
        <w:t>s.</w:t>
      </w:r>
    </w:p>
    <w:p w14:paraId="384094AF" w14:textId="77777777" w:rsidR="00BD4F6A" w:rsidRDefault="00BD4F6A" w:rsidP="00BD4F6A">
      <w:pPr>
        <w:spacing w:before="0" w:after="0"/>
        <w:rPr>
          <w:rFonts w:eastAsia="Calibri" w:cs="Times New Roman"/>
          <w:sz w:val="22"/>
          <w:szCs w:val="22"/>
        </w:rPr>
      </w:pPr>
      <w:r>
        <w:rPr>
          <w:rFonts w:eastAsia="Calibri" w:cs="Times New Roman"/>
          <w:sz w:val="22"/>
          <w:szCs w:val="22"/>
        </w:rPr>
        <w:t>Cada una de estas entidades están organizadas de tal forma que permitan el correcto funcionamiento de la Administración Pública Estatal.</w:t>
      </w:r>
    </w:p>
    <w:p w14:paraId="2094DDB6" w14:textId="77777777" w:rsidR="00BD4F6A" w:rsidRPr="00E60996" w:rsidRDefault="00BD4F6A" w:rsidP="00BD4F6A">
      <w:pPr>
        <w:spacing w:before="0" w:after="0"/>
        <w:rPr>
          <w:rFonts w:eastAsia="Calibri" w:cs="Times New Roman"/>
          <w:sz w:val="22"/>
          <w:szCs w:val="22"/>
        </w:rPr>
      </w:pPr>
    </w:p>
    <w:p w14:paraId="0A0A4452" w14:textId="77777777" w:rsidR="00BD4F6A" w:rsidRPr="00E4091F" w:rsidRDefault="00BD4F6A" w:rsidP="00BD4F6A">
      <w:pPr>
        <w:spacing w:before="0" w:after="0"/>
        <w:ind w:firstLine="360"/>
        <w:rPr>
          <w:rFonts w:eastAsia="Calibri" w:cs="Times New Roman"/>
          <w:b/>
          <w:bCs/>
          <w:sz w:val="22"/>
          <w:szCs w:val="22"/>
        </w:rPr>
      </w:pPr>
      <w:r w:rsidRPr="00E4091F">
        <w:rPr>
          <w:rFonts w:eastAsia="Calibri" w:cs="Times New Roman"/>
          <w:b/>
          <w:bCs/>
          <w:sz w:val="22"/>
          <w:szCs w:val="22"/>
        </w:rPr>
        <w:t>g) Fideicomisos, mandatos y análogos de los cuales es fideicomisario</w:t>
      </w:r>
      <w:r>
        <w:rPr>
          <w:rFonts w:eastAsia="Calibri" w:cs="Times New Roman"/>
          <w:b/>
          <w:bCs/>
          <w:sz w:val="22"/>
          <w:szCs w:val="22"/>
        </w:rPr>
        <w:t>.</w:t>
      </w:r>
    </w:p>
    <w:p w14:paraId="46EBAFEA" w14:textId="77777777" w:rsidR="00BD4F6A" w:rsidRPr="00E60996" w:rsidRDefault="00BD4F6A" w:rsidP="00BD4F6A">
      <w:pPr>
        <w:spacing w:before="0" w:after="0"/>
        <w:rPr>
          <w:rFonts w:eastAsia="Calibri" w:cs="Times New Roman"/>
          <w:sz w:val="22"/>
          <w:szCs w:val="22"/>
        </w:rPr>
      </w:pPr>
      <w:r>
        <w:rPr>
          <w:rFonts w:eastAsia="Calibri" w:cs="Times New Roman"/>
          <w:sz w:val="22"/>
          <w:szCs w:val="22"/>
        </w:rPr>
        <w:t>Los fideicomisos, mandatos y análogos de los cuales el Gobierno del Estado de Michoacán es fideicomisario, se detallan en el punto 6 de las Notas de desglose.</w:t>
      </w:r>
    </w:p>
    <w:p w14:paraId="5AC891B4" w14:textId="77777777" w:rsidR="00BD4F6A" w:rsidRDefault="00BD4F6A" w:rsidP="00BD4F6A">
      <w:pPr>
        <w:spacing w:before="0" w:after="0"/>
        <w:rPr>
          <w:rFonts w:eastAsia="Calibri" w:cs="Times New Roman"/>
          <w:b/>
          <w:sz w:val="22"/>
          <w:szCs w:val="22"/>
        </w:rPr>
      </w:pPr>
    </w:p>
    <w:p w14:paraId="5B8A7D3B" w14:textId="77777777" w:rsidR="00BD4F6A" w:rsidRPr="00290880" w:rsidRDefault="00BD4F6A" w:rsidP="00BD4F6A">
      <w:pPr>
        <w:spacing w:before="0" w:after="0"/>
        <w:rPr>
          <w:rFonts w:eastAsia="Calibri" w:cs="Times New Roman"/>
          <w:b/>
          <w:sz w:val="22"/>
          <w:szCs w:val="22"/>
        </w:rPr>
      </w:pPr>
      <w:r>
        <w:rPr>
          <w:rFonts w:eastAsia="Calibri" w:cs="Times New Roman"/>
          <w:b/>
          <w:sz w:val="22"/>
          <w:szCs w:val="22"/>
        </w:rPr>
        <w:t>5</w:t>
      </w:r>
      <w:r w:rsidRPr="00290880">
        <w:rPr>
          <w:rFonts w:eastAsia="Calibri" w:cs="Times New Roman"/>
          <w:b/>
          <w:sz w:val="22"/>
          <w:szCs w:val="22"/>
        </w:rPr>
        <w:t>.</w:t>
      </w:r>
      <w:r w:rsidRPr="00290880">
        <w:rPr>
          <w:rFonts w:eastAsia="Calibri" w:cs="Times New Roman"/>
          <w:b/>
          <w:sz w:val="22"/>
          <w:szCs w:val="22"/>
        </w:rPr>
        <w:tab/>
        <w:t>Bases de Preparación de los Estados Financieros</w:t>
      </w:r>
      <w:r>
        <w:rPr>
          <w:rFonts w:eastAsia="Calibri" w:cs="Times New Roman"/>
          <w:b/>
          <w:sz w:val="22"/>
          <w:szCs w:val="22"/>
        </w:rPr>
        <w:t>.</w:t>
      </w:r>
    </w:p>
    <w:p w14:paraId="6AF32E47" w14:textId="77777777" w:rsidR="00BD4F6A" w:rsidRPr="009E0D2E" w:rsidRDefault="00BD4F6A" w:rsidP="00BD4F6A">
      <w:pPr>
        <w:spacing w:before="0" w:after="0"/>
        <w:rPr>
          <w:rFonts w:ascii="GalanoGrotesque-ExtraLight" w:eastAsia="Calibri" w:hAnsi="GalanoGrotesque-ExtraLight" w:cs="Times New Roman"/>
          <w:b/>
          <w:sz w:val="22"/>
          <w:szCs w:val="22"/>
        </w:rPr>
      </w:pPr>
    </w:p>
    <w:p w14:paraId="0E433E93"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a). Si se ha observado la normatividad emitida por el CONAC y las disposiciones legales aplicables.</w:t>
      </w:r>
    </w:p>
    <w:p w14:paraId="44C44CB7"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A partir de 2009 hasta la fecha, el </w:t>
      </w:r>
      <w:r w:rsidRPr="00506DBF">
        <w:rPr>
          <w:rFonts w:eastAsia="Calibri" w:cs="Times New Roman"/>
          <w:sz w:val="22"/>
          <w:szCs w:val="22"/>
        </w:rPr>
        <w:t>Consejo Nacional de Armonización Contable</w:t>
      </w:r>
      <w:r w:rsidRPr="009E0D2E">
        <w:rPr>
          <w:rFonts w:eastAsia="Calibri" w:cs="Times New Roman"/>
          <w:sz w:val="22"/>
          <w:szCs w:val="22"/>
        </w:rPr>
        <w:t xml:space="preserve"> ha emitido diversas disposiciones regulatorias en materia de contabilidad gubernamental estableciéndose</w:t>
      </w:r>
      <w:r w:rsidRPr="009E0D2E">
        <w:rPr>
          <w:rFonts w:eastAsia="Calibri" w:cs="Times New Roman"/>
          <w:color w:val="C00000"/>
          <w:sz w:val="22"/>
          <w:szCs w:val="22"/>
        </w:rPr>
        <w:t xml:space="preserve"> </w:t>
      </w:r>
      <w:r w:rsidRPr="009E0D2E">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39BFF4FA" w14:textId="77777777" w:rsidR="00BD4F6A" w:rsidRPr="009E0D2E" w:rsidRDefault="00BD4F6A" w:rsidP="00BD4F6A">
      <w:pPr>
        <w:spacing w:before="0" w:after="0"/>
        <w:rPr>
          <w:rFonts w:eastAsia="Calibri" w:cs="Times New Roman"/>
          <w:sz w:val="22"/>
          <w:szCs w:val="22"/>
        </w:rPr>
      </w:pPr>
    </w:p>
    <w:p w14:paraId="1425F543"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val="en-US" w:eastAsia="es-MX"/>
        </w:rPr>
        <w:t>Marco Conceptual</w:t>
      </w:r>
    </w:p>
    <w:p w14:paraId="0F3EC809"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 xml:space="preserve">Postulados Básicos de </w:t>
      </w:r>
      <w:proofErr w:type="spellStart"/>
      <w:r w:rsidRPr="009E0D2E">
        <w:rPr>
          <w:rFonts w:eastAsia="Times New Roman" w:cs="Times New Roman"/>
          <w:sz w:val="22"/>
          <w:szCs w:val="22"/>
          <w:lang w:val="en-US" w:eastAsia="es-MX"/>
        </w:rPr>
        <w:t>Contabilidad</w:t>
      </w:r>
      <w:proofErr w:type="spellEnd"/>
      <w:r w:rsidRPr="009E0D2E">
        <w:rPr>
          <w:rFonts w:eastAsia="Times New Roman" w:cs="Times New Roman"/>
          <w:sz w:val="22"/>
          <w:szCs w:val="22"/>
          <w:lang w:eastAsia="es-MX"/>
        </w:rPr>
        <w:t xml:space="preserve"> Gubernamental</w:t>
      </w:r>
    </w:p>
    <w:p w14:paraId="768CB9B0"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proofErr w:type="spellStart"/>
      <w:r w:rsidRPr="009E0D2E">
        <w:rPr>
          <w:rFonts w:eastAsia="Times New Roman" w:cs="Times New Roman"/>
          <w:sz w:val="22"/>
          <w:szCs w:val="22"/>
          <w:lang w:val="en-US" w:eastAsia="es-MX"/>
        </w:rPr>
        <w:t>Clasificador</w:t>
      </w:r>
      <w:proofErr w:type="spellEnd"/>
      <w:r w:rsidRPr="009E0D2E">
        <w:rPr>
          <w:rFonts w:eastAsia="Times New Roman" w:cs="Times New Roman"/>
          <w:sz w:val="22"/>
          <w:szCs w:val="22"/>
          <w:lang w:eastAsia="es-MX"/>
        </w:rPr>
        <w:t xml:space="preserve"> por Objeto del Gasto</w:t>
      </w:r>
    </w:p>
    <w:p w14:paraId="0FBC8C87"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Clasificador por Tipo de Gasto</w:t>
      </w:r>
    </w:p>
    <w:p w14:paraId="4F67C69F"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lastRenderedPageBreak/>
        <w:t>Clasificador por Rubros de Ingresos</w:t>
      </w:r>
    </w:p>
    <w:p w14:paraId="5B3BA8B6"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Plan de</w:t>
      </w:r>
      <w:r w:rsidRPr="009E0D2E">
        <w:rPr>
          <w:rFonts w:eastAsia="Times New Roman" w:cs="Times New Roman"/>
          <w:sz w:val="22"/>
          <w:szCs w:val="22"/>
          <w:lang w:eastAsia="es-MX"/>
        </w:rPr>
        <w:t xml:space="preserve"> Cuentas</w:t>
      </w:r>
      <w:r w:rsidRPr="009E0D2E">
        <w:rPr>
          <w:rFonts w:eastAsia="Times New Roman" w:cs="Times New Roman"/>
          <w:sz w:val="22"/>
          <w:szCs w:val="22"/>
          <w:lang w:val="en-US" w:eastAsia="es-MX"/>
        </w:rPr>
        <w:t xml:space="preserve"> de </w:t>
      </w:r>
      <w:r w:rsidRPr="009E0D2E">
        <w:rPr>
          <w:rFonts w:eastAsia="Times New Roman" w:cs="Times New Roman"/>
          <w:sz w:val="22"/>
          <w:szCs w:val="22"/>
          <w:lang w:eastAsia="es-MX"/>
        </w:rPr>
        <w:t>Contabilidad</w:t>
      </w:r>
    </w:p>
    <w:p w14:paraId="1AC43DFD"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Momentos Contables de los Egresos</w:t>
      </w:r>
    </w:p>
    <w:p w14:paraId="758ACDA7"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proofErr w:type="spellStart"/>
      <w:r w:rsidRPr="009E0D2E">
        <w:rPr>
          <w:rFonts w:eastAsia="Times New Roman" w:cs="Times New Roman"/>
          <w:sz w:val="22"/>
          <w:szCs w:val="22"/>
          <w:lang w:val="en-US" w:eastAsia="es-MX"/>
        </w:rPr>
        <w:t>Momentos</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Contables</w:t>
      </w:r>
      <w:proofErr w:type="spellEnd"/>
      <w:r w:rsidRPr="009E0D2E">
        <w:rPr>
          <w:rFonts w:eastAsia="Times New Roman" w:cs="Times New Roman"/>
          <w:sz w:val="22"/>
          <w:szCs w:val="22"/>
          <w:lang w:val="en-US" w:eastAsia="es-MX"/>
        </w:rPr>
        <w:t xml:space="preserve"> de </w:t>
      </w:r>
      <w:proofErr w:type="spellStart"/>
      <w:r w:rsidRPr="009E0D2E">
        <w:rPr>
          <w:rFonts w:eastAsia="Times New Roman" w:cs="Times New Roman"/>
          <w:sz w:val="22"/>
          <w:szCs w:val="22"/>
          <w:lang w:val="en-US" w:eastAsia="es-MX"/>
        </w:rPr>
        <w:t>los</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Ingresos</w:t>
      </w:r>
      <w:proofErr w:type="spellEnd"/>
    </w:p>
    <w:p w14:paraId="69006917"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 xml:space="preserve">Manual de </w:t>
      </w:r>
      <w:proofErr w:type="spellStart"/>
      <w:r w:rsidRPr="009E0D2E">
        <w:rPr>
          <w:rFonts w:eastAsia="Times New Roman" w:cs="Times New Roman"/>
          <w:sz w:val="22"/>
          <w:szCs w:val="22"/>
          <w:lang w:val="en-US" w:eastAsia="es-MX"/>
        </w:rPr>
        <w:t>Contabilidad</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Gubernamental</w:t>
      </w:r>
      <w:proofErr w:type="spellEnd"/>
    </w:p>
    <w:p w14:paraId="4FCC8713" w14:textId="77777777" w:rsidR="00BD4F6A" w:rsidRPr="009E0D2E" w:rsidRDefault="00BD4F6A" w:rsidP="00BD4F6A">
      <w:pPr>
        <w:widowControl w:val="0"/>
        <w:kinsoku w:val="0"/>
        <w:spacing w:before="0" w:after="0"/>
        <w:contextualSpacing/>
        <w:jc w:val="left"/>
        <w:rPr>
          <w:rFonts w:eastAsia="Times New Roman" w:cs="Times New Roman"/>
          <w:sz w:val="22"/>
          <w:szCs w:val="22"/>
          <w:lang w:val="en-US" w:eastAsia="es-MX"/>
        </w:rPr>
      </w:pPr>
    </w:p>
    <w:p w14:paraId="7466B712" w14:textId="77777777" w:rsidR="00BD4F6A" w:rsidRPr="009E0D2E" w:rsidRDefault="00BD4F6A" w:rsidP="00BD4F6A">
      <w:pPr>
        <w:tabs>
          <w:tab w:val="left" w:pos="709"/>
        </w:tabs>
        <w:spacing w:before="0" w:after="0"/>
        <w:rPr>
          <w:rFonts w:eastAsia="Calibri" w:cs="Times New Roman"/>
          <w:sz w:val="22"/>
          <w:szCs w:val="22"/>
        </w:rPr>
      </w:pPr>
      <w:r w:rsidRPr="009E0D2E">
        <w:rPr>
          <w:rFonts w:eastAsia="Calibri" w:cs="Times New Roman"/>
          <w:sz w:val="22"/>
          <w:szCs w:val="22"/>
        </w:rPr>
        <w:t xml:space="preserve">La </w:t>
      </w:r>
      <w:r w:rsidRPr="00C1759E">
        <w:rPr>
          <w:rFonts w:eastAsia="Calibri" w:cs="Times New Roman"/>
          <w:sz w:val="22"/>
          <w:szCs w:val="22"/>
        </w:rPr>
        <w:t>Ley de Planeación Hacendaria, Presupuesto, Gasto Público y Contabilidad Gubernamental del Estado de Michoacán de Ocampo, en su artículo 91,</w:t>
      </w:r>
      <w:r w:rsidRPr="009E0D2E">
        <w:rPr>
          <w:rFonts w:eastAsia="Calibri" w:cs="Times New Roman"/>
          <w:sz w:val="22"/>
          <w:szCs w:val="22"/>
        </w:rPr>
        <w:t xml:space="preserve"> establece que la contabilidad gubernamental de los gobiernos Estatal y Municipales será la fuente para la formulación de la cuenta pública y los informes periódicos, que deberán constituirse con los estados financieros elaborados con las características que estipulan la </w:t>
      </w:r>
      <w:r w:rsidRPr="0045754C">
        <w:rPr>
          <w:rFonts w:eastAsia="Calibri" w:cs="Times New Roman"/>
          <w:sz w:val="22"/>
          <w:szCs w:val="22"/>
        </w:rPr>
        <w:t>Ley General de Contabilidad Gubernamental y las normas y lineamientos emitidos por el Consejo Nacional de Armonización Contable, con los informes que determine la Auditoría Superior de Michoacán</w:t>
      </w:r>
      <w:r w:rsidRPr="009E0D2E">
        <w:rPr>
          <w:rFonts w:eastAsia="Calibri" w:cs="Times New Roman"/>
          <w:sz w:val="22"/>
          <w:szCs w:val="22"/>
        </w:rPr>
        <w:t xml:space="preserve"> en coordinación con la Secretaría y las Tesorerías Municipales correspondientes. </w:t>
      </w:r>
    </w:p>
    <w:p w14:paraId="238A1F35" w14:textId="77777777" w:rsidR="00BD4F6A" w:rsidRDefault="00BD4F6A" w:rsidP="00BD4F6A">
      <w:pPr>
        <w:tabs>
          <w:tab w:val="left" w:pos="709"/>
        </w:tabs>
        <w:spacing w:before="0" w:after="0"/>
        <w:rPr>
          <w:rFonts w:eastAsia="Calibri" w:cs="Times New Roman"/>
          <w:sz w:val="22"/>
          <w:szCs w:val="22"/>
        </w:rPr>
      </w:pPr>
    </w:p>
    <w:p w14:paraId="04DBFCDD" w14:textId="77777777" w:rsidR="00BD4F6A" w:rsidRPr="009E0D2E" w:rsidRDefault="00BD4F6A" w:rsidP="00BD4F6A">
      <w:pPr>
        <w:tabs>
          <w:tab w:val="left" w:pos="709"/>
        </w:tabs>
        <w:spacing w:before="0" w:after="0"/>
        <w:rPr>
          <w:rFonts w:eastAsia="Calibri" w:cs="Times New Roman"/>
          <w:sz w:val="22"/>
          <w:szCs w:val="22"/>
        </w:rPr>
      </w:pPr>
      <w:r w:rsidRPr="009E0D2E">
        <w:rPr>
          <w:rFonts w:eastAsia="Calibri" w:cs="Times New Roman"/>
          <w:sz w:val="22"/>
          <w:szCs w:val="22"/>
        </w:rPr>
        <w:t>En ese sentido, las políticas de contabilidad adoptadas por la Administración Pública Central del Gobierno del Estado de Michoacán de Ocampo para la elaboración de sus estados financieros, están de acuerdo con tales disposiciones.</w:t>
      </w:r>
    </w:p>
    <w:p w14:paraId="06805E24" w14:textId="77777777" w:rsidR="00BD4F6A" w:rsidRDefault="00BD4F6A" w:rsidP="00BD4F6A">
      <w:pPr>
        <w:spacing w:before="0" w:after="0"/>
        <w:rPr>
          <w:rFonts w:eastAsia="Calibri" w:cs="Times New Roman"/>
          <w:b/>
          <w:sz w:val="22"/>
          <w:szCs w:val="22"/>
        </w:rPr>
      </w:pPr>
    </w:p>
    <w:p w14:paraId="05A832DE"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 xml:space="preserve">b) </w:t>
      </w:r>
      <w:r w:rsidRPr="009E0D2E">
        <w:rPr>
          <w:rFonts w:eastAsia="Calibri" w:cs="Times New Roman"/>
          <w:b/>
          <w:sz w:val="22"/>
          <w:szCs w:val="22"/>
        </w:rPr>
        <w:t xml:space="preserve"> Normatividad</w:t>
      </w:r>
      <w:r>
        <w:rPr>
          <w:rFonts w:eastAsia="Calibri" w:cs="Times New Roman"/>
          <w:b/>
          <w:sz w:val="22"/>
          <w:szCs w:val="22"/>
        </w:rPr>
        <w:t>.</w:t>
      </w:r>
    </w:p>
    <w:p w14:paraId="20B4336F" w14:textId="77777777" w:rsidR="00BD4F6A" w:rsidRDefault="00BD4F6A" w:rsidP="00BD4F6A">
      <w:pPr>
        <w:spacing w:before="0" w:after="0"/>
        <w:rPr>
          <w:rFonts w:eastAsia="Calibri" w:cs="Times New Roman"/>
          <w:sz w:val="22"/>
          <w:szCs w:val="22"/>
        </w:rPr>
      </w:pPr>
    </w:p>
    <w:p w14:paraId="3C25F96C"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w:t>
      </w:r>
      <w:r w:rsidRPr="00FE5BC1">
        <w:rPr>
          <w:rFonts w:eastAsia="Calibri" w:cs="Times New Roman"/>
          <w:sz w:val="22"/>
          <w:szCs w:val="22"/>
        </w:rPr>
        <w:t>,</w:t>
      </w:r>
      <w:r w:rsidRPr="009E0D2E">
        <w:rPr>
          <w:rFonts w:eastAsia="Calibri" w:cs="Times New Roman"/>
          <w:sz w:val="22"/>
          <w:szCs w:val="22"/>
        </w:rPr>
        <w:t xml:space="preserve"> y los flujos de efectivo con las Entidades de la Administración Pública, misma que se elaboró con base a la </w:t>
      </w:r>
      <w:r w:rsidRPr="009E0D2E">
        <w:rPr>
          <w:rFonts w:eastAsia="Calibri" w:cs="Times New Roman"/>
          <w:sz w:val="22"/>
          <w:szCs w:val="22"/>
        </w:rPr>
        <w:lastRenderedPageBreak/>
        <w:t xml:space="preserve">Ley General de Contabilidad Gubernamental, la normatividad emitida tanto por el Consejo Nacional </w:t>
      </w:r>
      <w:r>
        <w:rPr>
          <w:rFonts w:eastAsia="Calibri" w:cs="Times New Roman"/>
          <w:sz w:val="22"/>
          <w:szCs w:val="22"/>
        </w:rPr>
        <w:t>de Armonización Contable</w:t>
      </w:r>
      <w:r w:rsidRPr="009E0D2E">
        <w:rPr>
          <w:rFonts w:eastAsia="Calibri" w:cs="Times New Roman"/>
          <w:sz w:val="22"/>
          <w:szCs w:val="22"/>
        </w:rPr>
        <w:t>, como por el Consejo Estatal de Armonización Contable, la Ley de Planeación Hacendaria, Presupuesto, Gasto Público y Contabilidad Gubernamental del Estado de Michoacán de Ocampo, así como con apego al Decreto del Presupuesto de Egresos Estatal y la Ley de Ingres</w:t>
      </w:r>
      <w:r>
        <w:rPr>
          <w:rFonts w:eastAsia="Calibri" w:cs="Times New Roman"/>
          <w:sz w:val="22"/>
          <w:szCs w:val="22"/>
        </w:rPr>
        <w:t>os para el ejercicio fiscal 2022</w:t>
      </w:r>
      <w:r w:rsidRPr="009E0D2E">
        <w:rPr>
          <w:rFonts w:eastAsia="Calibri" w:cs="Times New Roman"/>
          <w:sz w:val="22"/>
          <w:szCs w:val="22"/>
        </w:rPr>
        <w:t xml:space="preserve"> y las demás disposiciones normativas y jurídicas vigentes para el Estado de Michoacán de Ocampo.</w:t>
      </w:r>
    </w:p>
    <w:p w14:paraId="17DE84BF" w14:textId="77777777" w:rsidR="00BD4F6A" w:rsidRDefault="00BD4F6A" w:rsidP="00BD4F6A">
      <w:pPr>
        <w:spacing w:before="0" w:after="0"/>
        <w:rPr>
          <w:rFonts w:eastAsia="Calibri" w:cs="Times New Roman"/>
          <w:sz w:val="22"/>
          <w:szCs w:val="22"/>
        </w:rPr>
      </w:pPr>
    </w:p>
    <w:p w14:paraId="4E974510"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1C416110" w14:textId="77777777" w:rsidR="00BD4F6A" w:rsidRPr="009E0D2E" w:rsidRDefault="00BD4F6A" w:rsidP="00BD4F6A">
      <w:pPr>
        <w:spacing w:before="0" w:after="0"/>
        <w:ind w:left="709"/>
        <w:rPr>
          <w:rFonts w:eastAsia="Calibri" w:cs="Times New Roman"/>
          <w:sz w:val="22"/>
          <w:szCs w:val="22"/>
        </w:rPr>
      </w:pPr>
    </w:p>
    <w:p w14:paraId="13356C05"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Para el año 202</w:t>
      </w:r>
      <w:r>
        <w:rPr>
          <w:rFonts w:eastAsia="Calibri" w:cs="Times New Roman"/>
          <w:sz w:val="22"/>
          <w:szCs w:val="22"/>
        </w:rPr>
        <w:t>2</w:t>
      </w:r>
      <w:r w:rsidRPr="009E0D2E">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w:t>
      </w:r>
      <w:r>
        <w:rPr>
          <w:rFonts w:eastAsia="Calibri" w:cs="Times New Roman"/>
          <w:sz w:val="22"/>
          <w:szCs w:val="22"/>
        </w:rPr>
        <w:t xml:space="preserve"> </w:t>
      </w:r>
      <w:r w:rsidRPr="009E0D2E">
        <w:rPr>
          <w:rFonts w:eastAsia="Calibri" w:cs="Times New Roman"/>
          <w:sz w:val="22"/>
          <w:szCs w:val="22"/>
        </w:rPr>
        <w:t>de Ocampo para el Ejercicio Fiscal del Año 202</w:t>
      </w:r>
      <w:r>
        <w:rPr>
          <w:rFonts w:eastAsia="Calibri" w:cs="Times New Roman"/>
          <w:sz w:val="22"/>
          <w:szCs w:val="22"/>
        </w:rPr>
        <w:t>2</w:t>
      </w:r>
      <w:r w:rsidRPr="009E0D2E">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037DC10E" w14:textId="77777777" w:rsidR="00BD4F6A" w:rsidRDefault="00BD4F6A" w:rsidP="00BD4F6A">
      <w:pPr>
        <w:spacing w:before="0" w:after="0"/>
        <w:rPr>
          <w:rFonts w:eastAsia="Calibri" w:cs="Times New Roman"/>
          <w:sz w:val="22"/>
          <w:szCs w:val="22"/>
        </w:rPr>
      </w:pPr>
    </w:p>
    <w:p w14:paraId="0A63E345"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lastRenderedPageBreak/>
        <w:t xml:space="preserve">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w:t>
      </w:r>
      <w:r w:rsidRPr="0016596C">
        <w:rPr>
          <w:rFonts w:eastAsia="Calibri" w:cs="Times New Roman"/>
          <w:sz w:val="22"/>
          <w:szCs w:val="22"/>
        </w:rPr>
        <w:t>los artículos 33, 34, 35 y 36 de la Ley General de Contabilidad Gubernamental, así como los artículos 66 y 86 de la Ley de Planeación Hacendaria</w:t>
      </w:r>
      <w:r w:rsidRPr="009E0D2E">
        <w:rPr>
          <w:rFonts w:eastAsia="Calibri" w:cs="Times New Roman"/>
          <w:sz w:val="22"/>
          <w:szCs w:val="22"/>
        </w:rPr>
        <w:t>, Presupuesto, Gasto Público y Contabilidad Gubernamental del Estado de Michoacán de Ocampo, y del Postulado Básico de Contabilidad Gubernamental en lo que se refiere a la consistencia.</w:t>
      </w:r>
    </w:p>
    <w:p w14:paraId="351295D9" w14:textId="77777777" w:rsidR="00BD4F6A" w:rsidRDefault="00BD4F6A" w:rsidP="00BD4F6A">
      <w:pPr>
        <w:spacing w:before="0" w:after="0"/>
        <w:rPr>
          <w:rFonts w:eastAsia="Calibri" w:cs="Times New Roman"/>
          <w:sz w:val="22"/>
          <w:szCs w:val="22"/>
        </w:rPr>
      </w:pPr>
    </w:p>
    <w:p w14:paraId="250B801F" w14:textId="77777777" w:rsidR="00BD4F6A" w:rsidRPr="004A2E28" w:rsidRDefault="00BD4F6A" w:rsidP="00BD4F6A">
      <w:pPr>
        <w:spacing w:before="0" w:after="0"/>
        <w:rPr>
          <w:rFonts w:eastAsia="Calibri" w:cs="Times New Roman"/>
          <w:sz w:val="22"/>
          <w:szCs w:val="22"/>
        </w:rPr>
      </w:pPr>
      <w:r w:rsidRPr="009E0D2E">
        <w:rPr>
          <w:rFonts w:eastAsia="Calibri" w:cs="Times New Roman"/>
          <w:sz w:val="22"/>
          <w:szCs w:val="22"/>
        </w:rPr>
        <w:t xml:space="preserve">En la contabilidad de la Hacienda Pública Estatal, de acuerdo con lo establecido en el artículo </w:t>
      </w:r>
      <w:r w:rsidRPr="00C1759E">
        <w:rPr>
          <w:rFonts w:eastAsia="Calibri" w:cs="Times New Roman"/>
          <w:sz w:val="22"/>
          <w:szCs w:val="22"/>
        </w:rPr>
        <w:t>88 fracción III de la Ley de Planeación</w:t>
      </w:r>
      <w:r w:rsidRPr="0016596C">
        <w:rPr>
          <w:rFonts w:eastAsia="Calibri" w:cs="Times New Roman"/>
          <w:sz w:val="22"/>
          <w:szCs w:val="22"/>
        </w:rPr>
        <w:t xml:space="preserve"> Hacendaria, Presupuesto</w:t>
      </w:r>
      <w:r w:rsidRPr="009E0D2E">
        <w:rPr>
          <w:rFonts w:eastAsia="Calibri" w:cs="Times New Roman"/>
          <w:sz w:val="22"/>
          <w:szCs w:val="22"/>
        </w:rPr>
        <w:t>, Gasto Público y Contabilidad Gubernamental del</w:t>
      </w:r>
      <w:r>
        <w:rPr>
          <w:rFonts w:eastAsia="Calibri" w:cs="Times New Roman"/>
          <w:sz w:val="22"/>
          <w:szCs w:val="22"/>
        </w:rPr>
        <w:t xml:space="preserve"> </w:t>
      </w:r>
      <w:r w:rsidRPr="009E0D2E">
        <w:rPr>
          <w:rFonts w:eastAsia="Calibri" w:cs="Times New Roman"/>
          <w:sz w:val="22"/>
          <w:szCs w:val="22"/>
        </w:rPr>
        <w:t xml:space="preserve">Estado de Michoacán de Ocampo, se muestran los estados </w:t>
      </w:r>
      <w:r>
        <w:rPr>
          <w:rFonts w:eastAsia="Calibri" w:cs="Times New Roman"/>
          <w:sz w:val="22"/>
          <w:szCs w:val="22"/>
        </w:rPr>
        <w:t>analíticos sobre deuda pública.</w:t>
      </w:r>
    </w:p>
    <w:p w14:paraId="453EFA61" w14:textId="77777777" w:rsidR="00BD4F6A" w:rsidRDefault="00BD4F6A" w:rsidP="00BD4F6A">
      <w:pPr>
        <w:spacing w:before="0" w:after="0"/>
        <w:ind w:left="720"/>
        <w:rPr>
          <w:rFonts w:eastAsia="Calibri" w:cs="Times New Roman"/>
          <w:b/>
          <w:sz w:val="22"/>
          <w:szCs w:val="22"/>
        </w:rPr>
      </w:pPr>
    </w:p>
    <w:p w14:paraId="1C184244" w14:textId="6D265F47" w:rsidR="00BD4F6A" w:rsidRDefault="00BD4F6A" w:rsidP="00BD4F6A">
      <w:pPr>
        <w:spacing w:before="0" w:after="0"/>
        <w:ind w:left="720"/>
        <w:rPr>
          <w:rFonts w:eastAsia="Calibri" w:cs="Times New Roman"/>
          <w:b/>
          <w:sz w:val="22"/>
          <w:szCs w:val="22"/>
        </w:rPr>
      </w:pPr>
      <w:r>
        <w:rPr>
          <w:rFonts w:eastAsia="Calibri" w:cs="Times New Roman"/>
          <w:b/>
          <w:sz w:val="22"/>
          <w:szCs w:val="22"/>
        </w:rPr>
        <w:t>c). Postulados básicos</w:t>
      </w:r>
      <w:r w:rsidR="00860C1E">
        <w:rPr>
          <w:rFonts w:eastAsia="Calibri" w:cs="Times New Roman"/>
          <w:b/>
          <w:sz w:val="22"/>
          <w:szCs w:val="22"/>
        </w:rPr>
        <w:t xml:space="preserve"> de Contabilidad Gubernamental</w:t>
      </w:r>
      <w:r>
        <w:rPr>
          <w:rFonts w:eastAsia="Calibri" w:cs="Times New Roman"/>
          <w:b/>
          <w:sz w:val="22"/>
          <w:szCs w:val="22"/>
        </w:rPr>
        <w:t>.</w:t>
      </w:r>
    </w:p>
    <w:p w14:paraId="69B2FB2D" w14:textId="77777777" w:rsidR="00BD4F6A" w:rsidRDefault="00BD4F6A" w:rsidP="00BD4F6A">
      <w:pPr>
        <w:spacing w:before="0" w:after="0"/>
        <w:rPr>
          <w:rFonts w:eastAsia="Calibri" w:cs="Times New Roman"/>
          <w:sz w:val="22"/>
          <w:szCs w:val="22"/>
        </w:rPr>
      </w:pPr>
    </w:p>
    <w:p w14:paraId="125ACA56" w14:textId="74220F77"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w:t>
      </w:r>
      <w:r w:rsidRPr="009E0D2E">
        <w:rPr>
          <w:rFonts w:eastAsia="Calibri" w:cs="Times New Roman"/>
          <w:sz w:val="22"/>
          <w:szCs w:val="22"/>
        </w:rPr>
        <w:lastRenderedPageBreak/>
        <w:t xml:space="preserve">reconocimiento de las transformaciones, transacciones y otros eventos que lo afectan. Estos postulados, son los aprobados por el </w:t>
      </w:r>
      <w:r w:rsidRPr="009743C7">
        <w:rPr>
          <w:rFonts w:eastAsia="Calibri" w:cs="Times New Roman"/>
          <w:sz w:val="22"/>
          <w:szCs w:val="22"/>
        </w:rPr>
        <w:t>Consejo Nacional de Armonización Contable</w:t>
      </w:r>
      <w:r>
        <w:rPr>
          <w:rFonts w:eastAsia="Calibri" w:cs="Times New Roman"/>
          <w:sz w:val="22"/>
          <w:szCs w:val="22"/>
        </w:rPr>
        <w:t>.</w:t>
      </w:r>
    </w:p>
    <w:p w14:paraId="59B83EFE" w14:textId="0C556C5F" w:rsidR="00860C1E" w:rsidRDefault="00860C1E" w:rsidP="00BD4F6A">
      <w:pPr>
        <w:spacing w:before="0" w:after="0"/>
        <w:rPr>
          <w:rFonts w:eastAsia="Calibri" w:cs="Times New Roman"/>
          <w:sz w:val="22"/>
          <w:szCs w:val="22"/>
        </w:rPr>
      </w:pPr>
    </w:p>
    <w:p w14:paraId="442B20AC" w14:textId="6862B07A" w:rsidR="00860C1E" w:rsidRPr="00860C1E" w:rsidRDefault="00860C1E" w:rsidP="00860C1E">
      <w:pPr>
        <w:spacing w:before="0" w:after="0"/>
        <w:ind w:left="720"/>
        <w:rPr>
          <w:rFonts w:eastAsia="Calibri" w:cs="Times New Roman"/>
          <w:b/>
          <w:sz w:val="22"/>
          <w:szCs w:val="22"/>
        </w:rPr>
      </w:pPr>
      <w:r w:rsidRPr="00860C1E">
        <w:rPr>
          <w:rFonts w:eastAsia="Calibri" w:cs="Times New Roman"/>
          <w:b/>
          <w:sz w:val="22"/>
          <w:szCs w:val="22"/>
        </w:rPr>
        <w:t>d) Normatividad Supletoria</w:t>
      </w:r>
    </w:p>
    <w:p w14:paraId="2D1917DB" w14:textId="36B4F6BD" w:rsidR="00860C1E" w:rsidRDefault="00860C1E" w:rsidP="00BD4F6A">
      <w:pPr>
        <w:spacing w:before="0" w:after="0"/>
        <w:rPr>
          <w:rFonts w:eastAsia="Calibri" w:cs="Times New Roman"/>
          <w:sz w:val="22"/>
          <w:szCs w:val="22"/>
        </w:rPr>
      </w:pPr>
    </w:p>
    <w:p w14:paraId="576A83C1" w14:textId="7F7C0C3D" w:rsidR="00860C1E" w:rsidRDefault="00860C1E" w:rsidP="00BD4F6A">
      <w:pPr>
        <w:spacing w:before="0" w:after="0"/>
        <w:rPr>
          <w:rFonts w:eastAsia="Calibri" w:cs="Times New Roman"/>
          <w:sz w:val="22"/>
          <w:szCs w:val="22"/>
        </w:rPr>
      </w:pPr>
      <w:r>
        <w:rPr>
          <w:rFonts w:eastAsia="Calibri" w:cs="Times New Roman"/>
          <w:sz w:val="22"/>
          <w:szCs w:val="22"/>
        </w:rPr>
        <w:t>No se aplica normatividad de manera supletoria para la elaboración de los Estados Financieros.</w:t>
      </w:r>
    </w:p>
    <w:p w14:paraId="2F525C13" w14:textId="05A30AE4" w:rsidR="00860C1E" w:rsidRDefault="00860C1E" w:rsidP="00BD4F6A">
      <w:pPr>
        <w:spacing w:before="0" w:after="0"/>
        <w:rPr>
          <w:rFonts w:eastAsia="Calibri" w:cs="Times New Roman"/>
          <w:sz w:val="22"/>
          <w:szCs w:val="22"/>
        </w:rPr>
      </w:pPr>
    </w:p>
    <w:p w14:paraId="5AE572F7" w14:textId="620FF682" w:rsidR="00860C1E" w:rsidRPr="00860C1E" w:rsidRDefault="00860C1E" w:rsidP="00860C1E">
      <w:pPr>
        <w:spacing w:before="0" w:after="0"/>
        <w:ind w:left="720"/>
        <w:rPr>
          <w:rFonts w:eastAsia="Calibri" w:cs="Times New Roman"/>
          <w:b/>
          <w:sz w:val="22"/>
          <w:szCs w:val="22"/>
        </w:rPr>
      </w:pPr>
      <w:r w:rsidRPr="00860C1E">
        <w:rPr>
          <w:rFonts w:eastAsia="Calibri" w:cs="Times New Roman"/>
          <w:b/>
          <w:sz w:val="22"/>
          <w:szCs w:val="22"/>
        </w:rPr>
        <w:t>e) Entidades que por primera vez apliquen la base del devengado</w:t>
      </w:r>
    </w:p>
    <w:p w14:paraId="1970CECB" w14:textId="17B9F500" w:rsidR="00860C1E" w:rsidRDefault="00860C1E" w:rsidP="00BD4F6A">
      <w:pPr>
        <w:spacing w:before="0" w:after="0"/>
        <w:rPr>
          <w:rFonts w:eastAsia="Calibri" w:cs="Times New Roman"/>
          <w:sz w:val="22"/>
          <w:szCs w:val="22"/>
        </w:rPr>
      </w:pPr>
    </w:p>
    <w:p w14:paraId="53F8BDC4" w14:textId="54EE86E1" w:rsidR="00860C1E" w:rsidRDefault="00860C1E" w:rsidP="00BD4F6A">
      <w:pPr>
        <w:spacing w:before="0" w:after="0"/>
        <w:rPr>
          <w:rFonts w:eastAsia="Calibri" w:cs="Times New Roman"/>
          <w:sz w:val="22"/>
          <w:szCs w:val="22"/>
        </w:rPr>
      </w:pPr>
      <w:r>
        <w:rPr>
          <w:rFonts w:eastAsia="Calibri" w:cs="Times New Roman"/>
          <w:sz w:val="22"/>
          <w:szCs w:val="22"/>
        </w:rPr>
        <w:t>Este punto no aplica para el Gobierno del Estado de Michoacán.</w:t>
      </w:r>
    </w:p>
    <w:p w14:paraId="401108AE" w14:textId="77777777" w:rsidR="00BD4F6A" w:rsidRDefault="00BD4F6A" w:rsidP="00BD4F6A">
      <w:pPr>
        <w:spacing w:before="0" w:after="0"/>
        <w:rPr>
          <w:rFonts w:eastAsia="Calibri" w:cs="Times New Roman"/>
          <w:sz w:val="22"/>
          <w:szCs w:val="22"/>
        </w:rPr>
      </w:pPr>
    </w:p>
    <w:p w14:paraId="6886C0F8" w14:textId="2A32BB20" w:rsidR="00BD4F6A" w:rsidRPr="004A2E28" w:rsidRDefault="00860C1E" w:rsidP="00BD4F6A">
      <w:pPr>
        <w:spacing w:before="0" w:after="0"/>
        <w:rPr>
          <w:rFonts w:eastAsia="Calibri" w:cs="Times New Roman"/>
          <w:b/>
          <w:bCs/>
          <w:sz w:val="22"/>
          <w:szCs w:val="22"/>
        </w:rPr>
      </w:pPr>
      <w:r>
        <w:rPr>
          <w:rFonts w:eastAsia="Calibri" w:cs="Times New Roman"/>
          <w:b/>
          <w:bCs/>
          <w:sz w:val="22"/>
          <w:szCs w:val="22"/>
        </w:rPr>
        <w:t>5</w:t>
      </w:r>
      <w:r w:rsidR="00BD4F6A" w:rsidRPr="004A2E28">
        <w:rPr>
          <w:rFonts w:eastAsia="Calibri" w:cs="Times New Roman"/>
          <w:b/>
          <w:bCs/>
          <w:sz w:val="22"/>
          <w:szCs w:val="22"/>
        </w:rPr>
        <w:t>.- Políticas de Contabilidad Significativas.</w:t>
      </w:r>
    </w:p>
    <w:p w14:paraId="14A5C80F" w14:textId="77777777" w:rsidR="00BD4F6A" w:rsidRDefault="00BD4F6A" w:rsidP="00BD4F6A">
      <w:pPr>
        <w:spacing w:before="0" w:after="0"/>
        <w:ind w:left="720"/>
        <w:rPr>
          <w:rFonts w:eastAsia="Calibri" w:cs="Times New Roman"/>
          <w:b/>
          <w:sz w:val="22"/>
          <w:szCs w:val="22"/>
        </w:rPr>
      </w:pPr>
    </w:p>
    <w:p w14:paraId="36F89262"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a)  Actualización del valor de los activos.</w:t>
      </w:r>
    </w:p>
    <w:p w14:paraId="79149682" w14:textId="3F0477F8" w:rsidR="00BD4F6A" w:rsidRDefault="0055183B" w:rsidP="00BD4F6A">
      <w:pPr>
        <w:spacing w:before="0" w:after="0"/>
        <w:rPr>
          <w:rFonts w:eastAsia="Calibri" w:cs="Times New Roman"/>
          <w:bCs/>
          <w:sz w:val="22"/>
          <w:szCs w:val="22"/>
        </w:rPr>
      </w:pPr>
      <w:r>
        <w:rPr>
          <w:rFonts w:eastAsia="Calibri" w:cs="Times New Roman"/>
          <w:bCs/>
          <w:sz w:val="22"/>
          <w:szCs w:val="22"/>
        </w:rPr>
        <w:t xml:space="preserve">El Gobierno del Estado de Michoacán </w:t>
      </w:r>
      <w:r w:rsidRPr="0055183B">
        <w:rPr>
          <w:rFonts w:eastAsia="Calibri" w:cs="Times New Roman"/>
          <w:bCs/>
          <w:sz w:val="22"/>
          <w:szCs w:val="22"/>
        </w:rPr>
        <w:t xml:space="preserve">ha venido realizando un programa de verificación de Bienes Inmuebles propiedad del Gobierno del Estado de Michoacán de Ocampo, a efecto de </w:t>
      </w:r>
      <w:r>
        <w:rPr>
          <w:rFonts w:eastAsia="Calibri" w:cs="Times New Roman"/>
          <w:bCs/>
          <w:sz w:val="22"/>
          <w:szCs w:val="22"/>
        </w:rPr>
        <w:t>verificar su valor actual, así como c</w:t>
      </w:r>
      <w:r w:rsidRPr="0055183B">
        <w:rPr>
          <w:rFonts w:eastAsia="Calibri" w:cs="Times New Roman"/>
          <w:bCs/>
          <w:sz w:val="22"/>
          <w:szCs w:val="22"/>
        </w:rPr>
        <w:t xml:space="preserve">ontrolar y </w:t>
      </w:r>
      <w:r>
        <w:rPr>
          <w:rFonts w:eastAsia="Calibri" w:cs="Times New Roman"/>
          <w:bCs/>
          <w:sz w:val="22"/>
          <w:szCs w:val="22"/>
        </w:rPr>
        <w:t>r</w:t>
      </w:r>
      <w:r w:rsidRPr="0055183B">
        <w:rPr>
          <w:rFonts w:eastAsia="Calibri" w:cs="Times New Roman"/>
          <w:bCs/>
          <w:sz w:val="22"/>
          <w:szCs w:val="22"/>
        </w:rPr>
        <w:t>esguardar</w:t>
      </w:r>
      <w:r>
        <w:rPr>
          <w:rFonts w:eastAsia="Calibri" w:cs="Times New Roman"/>
          <w:bCs/>
          <w:sz w:val="22"/>
          <w:szCs w:val="22"/>
        </w:rPr>
        <w:t xml:space="preserve"> debidamente la propiedad y de conformidad con</w:t>
      </w:r>
      <w:r w:rsidRPr="0055183B">
        <w:rPr>
          <w:rFonts w:eastAsia="Calibri" w:cs="Times New Roman"/>
          <w:bCs/>
          <w:sz w:val="22"/>
          <w:szCs w:val="22"/>
        </w:rPr>
        <w:t xml:space="preserve"> la normativa aplicable</w:t>
      </w:r>
      <w:r>
        <w:rPr>
          <w:rFonts w:eastAsia="Calibri" w:cs="Times New Roman"/>
          <w:bCs/>
          <w:sz w:val="22"/>
          <w:szCs w:val="22"/>
        </w:rPr>
        <w:t>. En este sentido se ha logrado conciliar</w:t>
      </w:r>
      <w:r w:rsidRPr="0055183B">
        <w:rPr>
          <w:rFonts w:eastAsia="Calibri" w:cs="Times New Roman"/>
          <w:bCs/>
          <w:sz w:val="22"/>
          <w:szCs w:val="22"/>
        </w:rPr>
        <w:t xml:space="preserve"> </w:t>
      </w:r>
      <w:r>
        <w:rPr>
          <w:rFonts w:eastAsia="Calibri" w:cs="Times New Roman"/>
          <w:bCs/>
          <w:sz w:val="22"/>
          <w:szCs w:val="22"/>
        </w:rPr>
        <w:t>390</w:t>
      </w:r>
      <w:r w:rsidRPr="0055183B">
        <w:rPr>
          <w:rFonts w:eastAsia="Calibri" w:cs="Times New Roman"/>
          <w:bCs/>
          <w:sz w:val="22"/>
          <w:szCs w:val="22"/>
        </w:rPr>
        <w:t xml:space="preserve"> Inmuebles que se encuentran en el Distrito de Morelia, </w:t>
      </w:r>
      <w:r>
        <w:rPr>
          <w:rFonts w:eastAsia="Calibri" w:cs="Times New Roman"/>
          <w:bCs/>
          <w:sz w:val="22"/>
          <w:szCs w:val="22"/>
        </w:rPr>
        <w:t>actualizando</w:t>
      </w:r>
      <w:r w:rsidRPr="0055183B">
        <w:rPr>
          <w:rFonts w:eastAsia="Calibri" w:cs="Times New Roman"/>
          <w:bCs/>
          <w:sz w:val="22"/>
          <w:szCs w:val="22"/>
        </w:rPr>
        <w:t xml:space="preserve"> los avalúos correspondientes, así como las acciones jurídicas y administrativas </w:t>
      </w:r>
      <w:r>
        <w:rPr>
          <w:rFonts w:eastAsia="Calibri" w:cs="Times New Roman"/>
          <w:bCs/>
          <w:sz w:val="22"/>
          <w:szCs w:val="22"/>
        </w:rPr>
        <w:t>que han permitido su contabilización</w:t>
      </w:r>
      <w:r w:rsidRPr="0055183B">
        <w:rPr>
          <w:rFonts w:eastAsia="Calibri" w:cs="Times New Roman"/>
          <w:bCs/>
          <w:sz w:val="22"/>
          <w:szCs w:val="22"/>
        </w:rPr>
        <w:t xml:space="preserve"> en el Sistema integral de Bienes Patrimoniales</w:t>
      </w:r>
      <w:r w:rsidR="00BD4F6A">
        <w:rPr>
          <w:rFonts w:eastAsia="Calibri" w:cs="Times New Roman"/>
          <w:bCs/>
          <w:sz w:val="22"/>
          <w:szCs w:val="22"/>
        </w:rPr>
        <w:t xml:space="preserve">. </w:t>
      </w:r>
    </w:p>
    <w:p w14:paraId="2CB1AC68" w14:textId="77777777" w:rsidR="0055183B" w:rsidRDefault="0055183B" w:rsidP="00BD4F6A">
      <w:pPr>
        <w:spacing w:before="0" w:after="0"/>
        <w:rPr>
          <w:rFonts w:eastAsia="Calibri" w:cs="Times New Roman"/>
          <w:bCs/>
          <w:sz w:val="22"/>
          <w:szCs w:val="22"/>
        </w:rPr>
      </w:pPr>
    </w:p>
    <w:p w14:paraId="48276AB0" w14:textId="282BD15E" w:rsidR="0055183B" w:rsidRPr="0055183B" w:rsidRDefault="0055183B" w:rsidP="0055183B">
      <w:pPr>
        <w:spacing w:before="0" w:after="0"/>
        <w:rPr>
          <w:rFonts w:eastAsia="Calibri" w:cs="Times New Roman"/>
          <w:bCs/>
          <w:sz w:val="22"/>
          <w:szCs w:val="22"/>
        </w:rPr>
      </w:pPr>
      <w:r>
        <w:rPr>
          <w:rFonts w:eastAsia="Calibri" w:cs="Times New Roman"/>
          <w:bCs/>
          <w:sz w:val="22"/>
          <w:szCs w:val="22"/>
        </w:rPr>
        <w:t>Dichas verificaciones han dado como resultado</w:t>
      </w:r>
      <w:r w:rsidR="00551D38">
        <w:rPr>
          <w:rFonts w:eastAsia="Calibri" w:cs="Times New Roman"/>
          <w:bCs/>
          <w:sz w:val="22"/>
          <w:szCs w:val="22"/>
        </w:rPr>
        <w:t xml:space="preserve"> </w:t>
      </w:r>
      <w:r>
        <w:rPr>
          <w:rFonts w:eastAsia="Calibri" w:cs="Times New Roman"/>
          <w:bCs/>
          <w:sz w:val="22"/>
          <w:szCs w:val="22"/>
        </w:rPr>
        <w:t>la actualización de</w:t>
      </w:r>
      <w:r w:rsidRPr="0055183B">
        <w:rPr>
          <w:rFonts w:eastAsia="Calibri" w:cs="Times New Roman"/>
          <w:bCs/>
          <w:sz w:val="22"/>
          <w:szCs w:val="22"/>
        </w:rPr>
        <w:t xml:space="preserve"> terrenos por la cantidad de 6</w:t>
      </w:r>
      <w:r w:rsidR="00312609">
        <w:rPr>
          <w:rFonts w:eastAsia="Calibri" w:cs="Times New Roman"/>
          <w:bCs/>
          <w:sz w:val="22"/>
          <w:szCs w:val="22"/>
        </w:rPr>
        <w:t xml:space="preserve"> mil </w:t>
      </w:r>
      <w:r w:rsidRPr="0055183B">
        <w:rPr>
          <w:rFonts w:eastAsia="Calibri" w:cs="Times New Roman"/>
          <w:bCs/>
          <w:sz w:val="22"/>
          <w:szCs w:val="22"/>
        </w:rPr>
        <w:t>414</w:t>
      </w:r>
      <w:r w:rsidR="00312609">
        <w:rPr>
          <w:rFonts w:eastAsia="Calibri" w:cs="Times New Roman"/>
          <w:bCs/>
          <w:sz w:val="22"/>
          <w:szCs w:val="22"/>
        </w:rPr>
        <w:t xml:space="preserve"> millones </w:t>
      </w:r>
      <w:r w:rsidRPr="0055183B">
        <w:rPr>
          <w:rFonts w:eastAsia="Calibri" w:cs="Times New Roman"/>
          <w:bCs/>
          <w:sz w:val="22"/>
          <w:szCs w:val="22"/>
        </w:rPr>
        <w:t>823</w:t>
      </w:r>
      <w:r w:rsidR="00312609">
        <w:rPr>
          <w:rFonts w:eastAsia="Calibri" w:cs="Times New Roman"/>
          <w:bCs/>
          <w:sz w:val="22"/>
          <w:szCs w:val="22"/>
        </w:rPr>
        <w:t xml:space="preserve"> mil </w:t>
      </w:r>
      <w:r w:rsidRPr="0055183B">
        <w:rPr>
          <w:rFonts w:eastAsia="Calibri" w:cs="Times New Roman"/>
          <w:bCs/>
          <w:sz w:val="22"/>
          <w:szCs w:val="22"/>
        </w:rPr>
        <w:t>766</w:t>
      </w:r>
      <w:r w:rsidR="00312609">
        <w:rPr>
          <w:rFonts w:eastAsia="Calibri" w:cs="Times New Roman"/>
          <w:bCs/>
          <w:sz w:val="22"/>
          <w:szCs w:val="22"/>
        </w:rPr>
        <w:t xml:space="preserve"> pesos</w:t>
      </w:r>
      <w:r w:rsidRPr="0055183B">
        <w:rPr>
          <w:rFonts w:eastAsia="Calibri" w:cs="Times New Roman"/>
          <w:bCs/>
          <w:sz w:val="22"/>
          <w:szCs w:val="22"/>
        </w:rPr>
        <w:t xml:space="preserve"> y de Edificios no Habitacional</w:t>
      </w:r>
      <w:r w:rsidR="00551D38">
        <w:rPr>
          <w:rFonts w:eastAsia="Calibri" w:cs="Times New Roman"/>
          <w:bCs/>
          <w:sz w:val="22"/>
          <w:szCs w:val="22"/>
        </w:rPr>
        <w:t>es</w:t>
      </w:r>
      <w:r w:rsidRPr="0055183B">
        <w:rPr>
          <w:rFonts w:eastAsia="Calibri" w:cs="Times New Roman"/>
          <w:bCs/>
          <w:sz w:val="22"/>
          <w:szCs w:val="22"/>
        </w:rPr>
        <w:t xml:space="preserve"> por 4</w:t>
      </w:r>
      <w:r w:rsidR="00312609">
        <w:rPr>
          <w:rFonts w:eastAsia="Calibri" w:cs="Times New Roman"/>
          <w:bCs/>
          <w:sz w:val="22"/>
          <w:szCs w:val="22"/>
        </w:rPr>
        <w:t xml:space="preserve"> mil </w:t>
      </w:r>
      <w:r w:rsidRPr="0055183B">
        <w:rPr>
          <w:rFonts w:eastAsia="Calibri" w:cs="Times New Roman"/>
          <w:bCs/>
          <w:sz w:val="22"/>
          <w:szCs w:val="22"/>
        </w:rPr>
        <w:t>856</w:t>
      </w:r>
      <w:r w:rsidR="00312609">
        <w:rPr>
          <w:rFonts w:eastAsia="Calibri" w:cs="Times New Roman"/>
          <w:bCs/>
          <w:sz w:val="22"/>
          <w:szCs w:val="22"/>
        </w:rPr>
        <w:t xml:space="preserve"> millones </w:t>
      </w:r>
      <w:r w:rsidRPr="0055183B">
        <w:rPr>
          <w:rFonts w:eastAsia="Calibri" w:cs="Times New Roman"/>
          <w:bCs/>
          <w:sz w:val="22"/>
          <w:szCs w:val="22"/>
        </w:rPr>
        <w:lastRenderedPageBreak/>
        <w:t>774</w:t>
      </w:r>
      <w:r w:rsidR="00312609">
        <w:rPr>
          <w:rFonts w:eastAsia="Calibri" w:cs="Times New Roman"/>
          <w:bCs/>
          <w:sz w:val="22"/>
          <w:szCs w:val="22"/>
        </w:rPr>
        <w:t xml:space="preserve"> mil </w:t>
      </w:r>
      <w:r w:rsidRPr="0055183B">
        <w:rPr>
          <w:rFonts w:eastAsia="Calibri" w:cs="Times New Roman"/>
          <w:bCs/>
          <w:sz w:val="22"/>
          <w:szCs w:val="22"/>
        </w:rPr>
        <w:t>136</w:t>
      </w:r>
      <w:r w:rsidR="00312609">
        <w:rPr>
          <w:rFonts w:eastAsia="Calibri" w:cs="Times New Roman"/>
          <w:bCs/>
          <w:sz w:val="22"/>
          <w:szCs w:val="22"/>
        </w:rPr>
        <w:t xml:space="preserve"> pesos</w:t>
      </w:r>
      <w:r w:rsidRPr="0055183B">
        <w:rPr>
          <w:rFonts w:eastAsia="Calibri" w:cs="Times New Roman"/>
          <w:bCs/>
          <w:sz w:val="22"/>
          <w:szCs w:val="22"/>
        </w:rPr>
        <w:t xml:space="preserve">, </w:t>
      </w:r>
      <w:r w:rsidR="00551D38">
        <w:rPr>
          <w:rFonts w:eastAsia="Calibri" w:cs="Times New Roman"/>
          <w:bCs/>
          <w:sz w:val="22"/>
          <w:szCs w:val="22"/>
        </w:rPr>
        <w:t>como se puede comprobar con</w:t>
      </w:r>
      <w:r w:rsidRPr="0055183B">
        <w:rPr>
          <w:rFonts w:eastAsia="Calibri" w:cs="Times New Roman"/>
          <w:bCs/>
          <w:sz w:val="22"/>
          <w:szCs w:val="22"/>
        </w:rPr>
        <w:t xml:space="preserve"> la </w:t>
      </w:r>
      <w:r w:rsidR="00551D38">
        <w:rPr>
          <w:rFonts w:eastAsia="Calibri" w:cs="Times New Roman"/>
          <w:bCs/>
          <w:sz w:val="22"/>
          <w:szCs w:val="22"/>
        </w:rPr>
        <w:t>d</w:t>
      </w:r>
      <w:r w:rsidRPr="0055183B">
        <w:rPr>
          <w:rFonts w:eastAsia="Calibri" w:cs="Times New Roman"/>
          <w:bCs/>
          <w:sz w:val="22"/>
          <w:szCs w:val="22"/>
        </w:rPr>
        <w:t>ocumentación</w:t>
      </w:r>
      <w:r w:rsidR="00551D38">
        <w:rPr>
          <w:rFonts w:eastAsia="Calibri" w:cs="Times New Roman"/>
          <w:bCs/>
          <w:sz w:val="22"/>
          <w:szCs w:val="22"/>
        </w:rPr>
        <w:t xml:space="preserve"> de los avalúos</w:t>
      </w:r>
      <w:r w:rsidRPr="0055183B">
        <w:rPr>
          <w:rFonts w:eastAsia="Calibri" w:cs="Times New Roman"/>
          <w:bCs/>
          <w:sz w:val="22"/>
          <w:szCs w:val="22"/>
        </w:rPr>
        <w:t xml:space="preserve"> que respalda a cada uno de los Activos</w:t>
      </w:r>
      <w:r w:rsidR="00551D38">
        <w:rPr>
          <w:rFonts w:eastAsia="Calibri" w:cs="Times New Roman"/>
          <w:bCs/>
          <w:sz w:val="22"/>
          <w:szCs w:val="22"/>
        </w:rPr>
        <w:t xml:space="preserve"> a</w:t>
      </w:r>
      <w:r w:rsidRPr="0055183B">
        <w:rPr>
          <w:rFonts w:eastAsia="Calibri" w:cs="Times New Roman"/>
          <w:bCs/>
          <w:sz w:val="22"/>
          <w:szCs w:val="22"/>
        </w:rPr>
        <w:t xml:space="preserve"> que </w:t>
      </w:r>
      <w:r w:rsidR="00551D38">
        <w:rPr>
          <w:rFonts w:eastAsia="Calibri" w:cs="Times New Roman"/>
          <w:bCs/>
          <w:sz w:val="22"/>
          <w:szCs w:val="22"/>
        </w:rPr>
        <w:t>se hace referencia</w:t>
      </w:r>
      <w:r w:rsidRPr="0055183B">
        <w:rPr>
          <w:rFonts w:eastAsia="Calibri" w:cs="Times New Roman"/>
          <w:bCs/>
          <w:sz w:val="22"/>
          <w:szCs w:val="22"/>
        </w:rPr>
        <w:t>, con forme al Acuerdo por el que se emiten los Postulados básicos de Contabilidad en el numeral 9 (Valuación), y la normatividad de la Ley General de Contabilidad Gubernamental y considerando lo establecido en el acuerdo por el que se emiten sus Lineamientos del Consejo Nacional de Armonización Contable (CONAC).</w:t>
      </w:r>
    </w:p>
    <w:p w14:paraId="2B34C824" w14:textId="77777777" w:rsidR="0055183B" w:rsidRPr="0055183B" w:rsidRDefault="0055183B" w:rsidP="0055183B">
      <w:pPr>
        <w:spacing w:before="0" w:after="0"/>
        <w:rPr>
          <w:rFonts w:eastAsia="Calibri" w:cs="Times New Roman"/>
          <w:bCs/>
          <w:sz w:val="22"/>
          <w:szCs w:val="22"/>
        </w:rPr>
      </w:pPr>
    </w:p>
    <w:p w14:paraId="22EEDDA1" w14:textId="07306346" w:rsidR="0055183B" w:rsidRPr="0055183B" w:rsidRDefault="00551D38" w:rsidP="0055183B">
      <w:pPr>
        <w:spacing w:before="0" w:after="0"/>
        <w:rPr>
          <w:rFonts w:eastAsia="Calibri" w:cs="Times New Roman"/>
          <w:bCs/>
          <w:sz w:val="22"/>
          <w:szCs w:val="22"/>
        </w:rPr>
      </w:pPr>
      <w:r>
        <w:rPr>
          <w:rFonts w:eastAsia="Calibri" w:cs="Times New Roman"/>
          <w:bCs/>
          <w:sz w:val="22"/>
          <w:szCs w:val="22"/>
        </w:rPr>
        <w:t>Actualmente se continúa con los trabajos de</w:t>
      </w:r>
      <w:r w:rsidRPr="0055183B">
        <w:rPr>
          <w:rFonts w:eastAsia="Calibri" w:cs="Times New Roman"/>
          <w:bCs/>
          <w:sz w:val="22"/>
          <w:szCs w:val="22"/>
        </w:rPr>
        <w:t xml:space="preserve"> revisión y verificación en el interior del Estado,</w:t>
      </w:r>
      <w:r>
        <w:rPr>
          <w:rFonts w:eastAsia="Calibri" w:cs="Times New Roman"/>
          <w:bCs/>
          <w:sz w:val="22"/>
          <w:szCs w:val="22"/>
        </w:rPr>
        <w:t xml:space="preserve"> para estar en condiciones de integrarlos de manera correcta </w:t>
      </w:r>
      <w:r w:rsidR="0055183B" w:rsidRPr="0055183B">
        <w:rPr>
          <w:rFonts w:eastAsia="Calibri" w:cs="Times New Roman"/>
          <w:bCs/>
          <w:sz w:val="22"/>
          <w:szCs w:val="22"/>
        </w:rPr>
        <w:t xml:space="preserve">del 100 por ciento de los activos propiedad de Gobierno del Estado de Michoacán, </w:t>
      </w:r>
      <w:r>
        <w:rPr>
          <w:rFonts w:eastAsia="Calibri" w:cs="Times New Roman"/>
          <w:bCs/>
          <w:sz w:val="22"/>
          <w:szCs w:val="22"/>
        </w:rPr>
        <w:t>durante</w:t>
      </w:r>
      <w:r w:rsidR="0055183B" w:rsidRPr="0055183B">
        <w:rPr>
          <w:rFonts w:eastAsia="Calibri" w:cs="Times New Roman"/>
          <w:bCs/>
          <w:sz w:val="22"/>
          <w:szCs w:val="22"/>
        </w:rPr>
        <w:t xml:space="preserve"> esta administración. </w:t>
      </w:r>
    </w:p>
    <w:p w14:paraId="40B92714" w14:textId="77777777" w:rsidR="0055183B" w:rsidRPr="0055183B" w:rsidRDefault="0055183B" w:rsidP="0055183B">
      <w:pPr>
        <w:spacing w:before="0" w:after="0"/>
        <w:rPr>
          <w:rFonts w:eastAsia="Calibri" w:cs="Times New Roman"/>
          <w:bCs/>
          <w:sz w:val="22"/>
          <w:szCs w:val="22"/>
        </w:rPr>
      </w:pPr>
    </w:p>
    <w:p w14:paraId="42471D44" w14:textId="55835C66" w:rsidR="0055183B" w:rsidRDefault="00551D38" w:rsidP="0055183B">
      <w:pPr>
        <w:spacing w:before="0" w:after="0"/>
        <w:rPr>
          <w:rFonts w:eastAsia="Calibri" w:cs="Times New Roman"/>
          <w:bCs/>
          <w:sz w:val="22"/>
          <w:szCs w:val="22"/>
        </w:rPr>
      </w:pPr>
      <w:r>
        <w:rPr>
          <w:rFonts w:eastAsia="Calibri" w:cs="Times New Roman"/>
          <w:bCs/>
          <w:sz w:val="22"/>
          <w:szCs w:val="22"/>
        </w:rPr>
        <w:t xml:space="preserve">En lo que corresponde a Bienes Muebles, </w:t>
      </w:r>
      <w:r w:rsidR="0055183B" w:rsidRPr="0055183B">
        <w:rPr>
          <w:rFonts w:eastAsia="Calibri" w:cs="Times New Roman"/>
          <w:bCs/>
          <w:sz w:val="22"/>
          <w:szCs w:val="22"/>
        </w:rPr>
        <w:t xml:space="preserve">el Sistema de Contabilidad Gubernamental del Poder Ejecutivo del sector central, se encuentra en pleno desarrollo el módulo de Bienes Patrimoniales, </w:t>
      </w:r>
      <w:r>
        <w:rPr>
          <w:rFonts w:eastAsia="Calibri" w:cs="Times New Roman"/>
          <w:bCs/>
          <w:sz w:val="22"/>
          <w:szCs w:val="22"/>
        </w:rPr>
        <w:t>para estar</w:t>
      </w:r>
      <w:r w:rsidR="0055183B" w:rsidRPr="0055183B">
        <w:rPr>
          <w:rFonts w:eastAsia="Calibri" w:cs="Times New Roman"/>
          <w:bCs/>
          <w:sz w:val="22"/>
          <w:szCs w:val="22"/>
        </w:rPr>
        <w:t xml:space="preserve"> en condiciones de cumplir en su totalidad con los requerimientos de información establecidos en la legislación aplicable; necesaria para la rendición de cuentas y la transparencia de los bienes muebles e inmuebles propiedad de Gobierno del Estado de Michoacán de Ocampo.</w:t>
      </w:r>
    </w:p>
    <w:p w14:paraId="40BCA682" w14:textId="77777777" w:rsidR="0055183B" w:rsidRDefault="0055183B" w:rsidP="00BD4F6A">
      <w:pPr>
        <w:spacing w:before="0" w:after="0"/>
        <w:rPr>
          <w:rFonts w:eastAsia="Calibri" w:cs="Times New Roman"/>
          <w:bCs/>
          <w:sz w:val="22"/>
          <w:szCs w:val="22"/>
        </w:rPr>
      </w:pPr>
    </w:p>
    <w:p w14:paraId="25DF026C"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b) Informar sobre la realización de operaciones en el extranjero y de sus efectos en la información financiera gubernamental.</w:t>
      </w:r>
    </w:p>
    <w:p w14:paraId="776CB32F" w14:textId="77777777" w:rsidR="00BD4F6A" w:rsidRPr="00A300D2"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realiza operaciones en el extranjero.</w:t>
      </w:r>
    </w:p>
    <w:p w14:paraId="20231CFE" w14:textId="77777777" w:rsidR="00BD4F6A" w:rsidRDefault="00BD4F6A" w:rsidP="00BD4F6A">
      <w:pPr>
        <w:spacing w:before="0" w:after="0"/>
        <w:ind w:left="720"/>
        <w:rPr>
          <w:rFonts w:eastAsia="Calibri" w:cs="Times New Roman"/>
          <w:b/>
          <w:sz w:val="22"/>
          <w:szCs w:val="22"/>
        </w:rPr>
      </w:pPr>
    </w:p>
    <w:p w14:paraId="0783281C" w14:textId="77777777" w:rsidR="00A45832" w:rsidRDefault="00A45832" w:rsidP="00BD4F6A">
      <w:pPr>
        <w:spacing w:before="0" w:after="0"/>
        <w:ind w:left="720"/>
        <w:rPr>
          <w:rFonts w:eastAsia="Calibri" w:cs="Times New Roman"/>
          <w:b/>
          <w:sz w:val="22"/>
          <w:szCs w:val="22"/>
        </w:rPr>
      </w:pPr>
    </w:p>
    <w:p w14:paraId="7E1C0D1E" w14:textId="7CC75E8C" w:rsidR="00BD4F6A" w:rsidRDefault="00BD4F6A" w:rsidP="00BD4F6A">
      <w:pPr>
        <w:spacing w:before="0" w:after="0"/>
        <w:ind w:left="720"/>
        <w:rPr>
          <w:rFonts w:eastAsia="Calibri" w:cs="Times New Roman"/>
          <w:b/>
          <w:sz w:val="22"/>
          <w:szCs w:val="22"/>
        </w:rPr>
      </w:pPr>
      <w:r>
        <w:rPr>
          <w:rFonts w:eastAsia="Calibri" w:cs="Times New Roman"/>
          <w:b/>
          <w:sz w:val="22"/>
          <w:szCs w:val="22"/>
        </w:rPr>
        <w:t>c) Método de valuación en acciones de Compañías subsidiarias no consolidadas.</w:t>
      </w:r>
    </w:p>
    <w:p w14:paraId="153037BB" w14:textId="77777777" w:rsidR="00BD4F6A" w:rsidRPr="00A300D2" w:rsidRDefault="00BD4F6A" w:rsidP="00BD4F6A">
      <w:pPr>
        <w:spacing w:before="0" w:after="0"/>
        <w:rPr>
          <w:rFonts w:eastAsia="Calibri" w:cs="Times New Roman"/>
          <w:bCs/>
          <w:sz w:val="22"/>
          <w:szCs w:val="22"/>
        </w:rPr>
      </w:pPr>
      <w:r>
        <w:rPr>
          <w:rFonts w:eastAsia="Calibri" w:cs="Times New Roman"/>
          <w:bCs/>
          <w:sz w:val="22"/>
          <w:szCs w:val="22"/>
        </w:rPr>
        <w:lastRenderedPageBreak/>
        <w:t>El Gobierno del Estado de Michoacán no cuenta con acciones en compañías subsidiarias no consolidadas.</w:t>
      </w:r>
    </w:p>
    <w:p w14:paraId="75D6AFE9" w14:textId="77777777" w:rsidR="00BD4F6A" w:rsidRDefault="00BD4F6A" w:rsidP="00BD4F6A">
      <w:pPr>
        <w:spacing w:before="0" w:after="0"/>
        <w:rPr>
          <w:rFonts w:eastAsia="Calibri" w:cs="Times New Roman"/>
          <w:b/>
          <w:sz w:val="22"/>
          <w:szCs w:val="22"/>
        </w:rPr>
      </w:pPr>
    </w:p>
    <w:p w14:paraId="48277993"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d) Sistema y costo de valuación del costo de lo vendido.</w:t>
      </w:r>
    </w:p>
    <w:p w14:paraId="04001409" w14:textId="77777777" w:rsidR="00A45832" w:rsidRDefault="00A45832" w:rsidP="00BD4F6A">
      <w:pPr>
        <w:spacing w:before="0" w:after="0"/>
        <w:rPr>
          <w:rFonts w:eastAsia="Calibri" w:cs="Times New Roman"/>
          <w:bCs/>
          <w:sz w:val="22"/>
          <w:szCs w:val="22"/>
        </w:rPr>
      </w:pPr>
    </w:p>
    <w:p w14:paraId="2D6FE707" w14:textId="4DA66867" w:rsidR="00BD4F6A" w:rsidRPr="00301F26"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realiza ventas, como parte de su actividad principal.</w:t>
      </w:r>
    </w:p>
    <w:p w14:paraId="144A2DAF" w14:textId="77777777" w:rsidR="00A45832" w:rsidRDefault="00A45832" w:rsidP="00BD4F6A">
      <w:pPr>
        <w:spacing w:before="0" w:after="0"/>
        <w:ind w:left="720"/>
        <w:rPr>
          <w:rFonts w:eastAsia="Calibri" w:cs="Times New Roman"/>
          <w:b/>
          <w:sz w:val="22"/>
          <w:szCs w:val="22"/>
        </w:rPr>
      </w:pPr>
    </w:p>
    <w:p w14:paraId="38FEBD3A" w14:textId="41772EC6" w:rsidR="00BD4F6A" w:rsidRDefault="00BD4F6A" w:rsidP="00BD4F6A">
      <w:pPr>
        <w:spacing w:before="0" w:after="0"/>
        <w:ind w:left="720"/>
        <w:rPr>
          <w:rFonts w:eastAsia="Calibri" w:cs="Times New Roman"/>
          <w:b/>
          <w:sz w:val="22"/>
          <w:szCs w:val="22"/>
        </w:rPr>
      </w:pPr>
      <w:r>
        <w:rPr>
          <w:rFonts w:eastAsia="Calibri" w:cs="Times New Roman"/>
          <w:b/>
          <w:sz w:val="22"/>
          <w:szCs w:val="22"/>
        </w:rPr>
        <w:t>e) Depuración y cancelación de saldos.</w:t>
      </w:r>
    </w:p>
    <w:p w14:paraId="210B21A7" w14:textId="77777777" w:rsidR="00A45832" w:rsidRDefault="00A45832" w:rsidP="00BD4F6A">
      <w:pPr>
        <w:spacing w:before="0" w:after="0"/>
        <w:rPr>
          <w:rFonts w:eastAsia="Calibri" w:cs="Times New Roman"/>
          <w:bCs/>
          <w:sz w:val="22"/>
          <w:szCs w:val="22"/>
        </w:rPr>
      </w:pPr>
    </w:p>
    <w:p w14:paraId="1FAE3110" w14:textId="120D3DDE"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como parte de sus prioridades de mantener finanzas sanas y una rendición de cuentas que permitan a la ciudadanía conocer el estado de la situación financiera del Estado de Michoacán, se ha dado a la tarea de realizar una depuración de saldos que son derivados de ejercicios anteriores, por omisiones o errores contables.</w:t>
      </w:r>
    </w:p>
    <w:p w14:paraId="789D083A" w14:textId="77777777" w:rsidR="00BD4F6A" w:rsidRDefault="00BD4F6A" w:rsidP="00BD4F6A">
      <w:pPr>
        <w:spacing w:before="0" w:after="0"/>
        <w:rPr>
          <w:rFonts w:eastAsia="Calibri" w:cs="Times New Roman"/>
          <w:bCs/>
          <w:sz w:val="22"/>
          <w:szCs w:val="22"/>
        </w:rPr>
      </w:pPr>
    </w:p>
    <w:p w14:paraId="3B519BF8" w14:textId="77777777" w:rsidR="00BD4F6A" w:rsidRDefault="00BD4F6A" w:rsidP="00BD4F6A">
      <w:pPr>
        <w:spacing w:before="0" w:after="0"/>
        <w:rPr>
          <w:rFonts w:eastAsia="Calibri" w:cs="Times New Roman"/>
          <w:bCs/>
          <w:sz w:val="22"/>
          <w:szCs w:val="22"/>
        </w:rPr>
      </w:pPr>
      <w:r>
        <w:rPr>
          <w:rFonts w:eastAsia="Calibri" w:cs="Times New Roman"/>
          <w:bCs/>
          <w:sz w:val="22"/>
          <w:szCs w:val="22"/>
        </w:rPr>
        <w:t>De esta manera se encuentran en proceso la eliminación de cuentas bancarias que ya han sido canceladas y siguen arrojando saldos, la depuración de cuentas por cobrar y de saldos pendientes de pago, así como la reclasificación de activos y pasivos que no fueron registrados conforme lo establecen las reglas contables y patrimoniales.</w:t>
      </w:r>
    </w:p>
    <w:p w14:paraId="7C22F252" w14:textId="77777777" w:rsidR="00D63DFA" w:rsidRDefault="00D63DFA" w:rsidP="00BD4F6A">
      <w:pPr>
        <w:spacing w:before="0" w:after="0"/>
        <w:rPr>
          <w:rFonts w:eastAsia="Calibri" w:cs="Times New Roman"/>
          <w:bCs/>
          <w:sz w:val="22"/>
          <w:szCs w:val="22"/>
        </w:rPr>
      </w:pPr>
    </w:p>
    <w:p w14:paraId="04A8FC2A" w14:textId="59D445A9" w:rsidR="00D63DFA" w:rsidRDefault="00D63DFA" w:rsidP="00BD4F6A">
      <w:pPr>
        <w:spacing w:before="0" w:after="0"/>
        <w:rPr>
          <w:rFonts w:eastAsia="Calibri" w:cs="Times New Roman"/>
          <w:bCs/>
          <w:sz w:val="22"/>
          <w:szCs w:val="22"/>
        </w:rPr>
      </w:pPr>
      <w:r>
        <w:rPr>
          <w:rFonts w:eastAsia="Calibri" w:cs="Times New Roman"/>
          <w:bCs/>
          <w:sz w:val="22"/>
          <w:szCs w:val="22"/>
        </w:rPr>
        <w:t>En el mismo sentido se han implementado ajustes referentes a los activos no circulantes, referentes a la revaluación de los inmuebles, ajustando el valor con la finalidad de conciliar lo existente en el Patrimonio y los registros contables. De igual manera, se encuentra en proceso una actividad similar en la parte de bienes muebles, a la par con la finalización de las valuaciones de inmuebles.</w:t>
      </w:r>
    </w:p>
    <w:p w14:paraId="288DC6FA" w14:textId="77777777" w:rsidR="008F2D6B" w:rsidRDefault="008F2D6B" w:rsidP="00BD4F6A">
      <w:pPr>
        <w:spacing w:before="0" w:after="0"/>
        <w:rPr>
          <w:rFonts w:eastAsia="Calibri" w:cs="Times New Roman"/>
          <w:bCs/>
          <w:sz w:val="22"/>
          <w:szCs w:val="22"/>
        </w:rPr>
      </w:pPr>
    </w:p>
    <w:p w14:paraId="2D5EF283" w14:textId="49FFFE8C" w:rsidR="008F2D6B" w:rsidRDefault="008F2D6B" w:rsidP="00BD4F6A">
      <w:pPr>
        <w:spacing w:before="0" w:after="0"/>
        <w:rPr>
          <w:rFonts w:eastAsia="Calibri" w:cs="Times New Roman"/>
          <w:bCs/>
          <w:sz w:val="22"/>
          <w:szCs w:val="22"/>
        </w:rPr>
      </w:pPr>
      <w:r>
        <w:rPr>
          <w:rFonts w:eastAsia="Calibri" w:cs="Times New Roman"/>
          <w:bCs/>
          <w:sz w:val="22"/>
          <w:szCs w:val="22"/>
        </w:rPr>
        <w:t>En el mismo sentido, se realizaron afectaciones presupuestarias entre la publicación del cuarto trimestre, el cuál es presentado como resultado preliminar y la entrega de la cuenta pública, regularizando a Unidades Programáticas Presupuestarias respecto de su presupuesto.</w:t>
      </w:r>
    </w:p>
    <w:p w14:paraId="41B831FB" w14:textId="213F6DDD" w:rsidR="008F2D6B" w:rsidRDefault="008F2D6B" w:rsidP="00BD4F6A">
      <w:pPr>
        <w:spacing w:before="0" w:after="0"/>
        <w:rPr>
          <w:rFonts w:eastAsia="Calibri" w:cs="Times New Roman"/>
          <w:bCs/>
          <w:sz w:val="22"/>
          <w:szCs w:val="22"/>
        </w:rPr>
      </w:pPr>
      <w:r>
        <w:rPr>
          <w:rFonts w:eastAsia="Calibri" w:cs="Times New Roman"/>
          <w:bCs/>
          <w:sz w:val="22"/>
          <w:szCs w:val="22"/>
        </w:rPr>
        <w:t>Asimismo, en el apartado de servicios personales se registró:</w:t>
      </w:r>
    </w:p>
    <w:p w14:paraId="0DC656B7" w14:textId="73F78537" w:rsidR="008F2D6B" w:rsidRDefault="008F2D6B" w:rsidP="00BD4F6A">
      <w:pPr>
        <w:spacing w:before="0" w:after="0"/>
        <w:rPr>
          <w:rFonts w:eastAsia="Calibri" w:cs="Times New Roman"/>
          <w:bCs/>
          <w:sz w:val="22"/>
          <w:szCs w:val="22"/>
        </w:rPr>
      </w:pPr>
      <w:r>
        <w:rPr>
          <w:rFonts w:eastAsia="Calibri" w:cs="Times New Roman"/>
          <w:bCs/>
          <w:sz w:val="22"/>
          <w:szCs w:val="22"/>
        </w:rPr>
        <w:t>a). Integración de registros presupuestales por concepto de ISR con cargo al patrón, de 39 identificadores de nómina de Organismos Desconcentrados del Poder Ejecutivo.</w:t>
      </w:r>
    </w:p>
    <w:p w14:paraId="1F6245FF" w14:textId="0BAC6312" w:rsidR="008F2D6B" w:rsidRDefault="008F2D6B" w:rsidP="00BD4F6A">
      <w:pPr>
        <w:spacing w:before="0" w:after="0"/>
        <w:rPr>
          <w:rFonts w:eastAsia="Calibri" w:cs="Times New Roman"/>
          <w:bCs/>
          <w:sz w:val="22"/>
          <w:szCs w:val="22"/>
        </w:rPr>
      </w:pPr>
      <w:r>
        <w:rPr>
          <w:rFonts w:eastAsia="Calibri" w:cs="Times New Roman"/>
          <w:bCs/>
          <w:sz w:val="22"/>
          <w:szCs w:val="22"/>
        </w:rPr>
        <w:t>b). Ajuste de las retenciones efectuadas por concepto de pensión alimenticia, ISR e IMSS de cuatro organismos desconcentrados del Gobierno del Estado de Michoacán.</w:t>
      </w:r>
    </w:p>
    <w:p w14:paraId="44D95F85" w14:textId="77777777" w:rsidR="00BD4F6A" w:rsidRDefault="00BD4F6A" w:rsidP="00BD4F6A">
      <w:pPr>
        <w:spacing w:before="0" w:after="0"/>
        <w:rPr>
          <w:rFonts w:eastAsia="Calibri" w:cs="Times New Roman"/>
          <w:bCs/>
          <w:sz w:val="22"/>
          <w:szCs w:val="22"/>
        </w:rPr>
      </w:pPr>
    </w:p>
    <w:p w14:paraId="623256C4" w14:textId="26125722" w:rsidR="00BD4F6A" w:rsidRDefault="00860C1E" w:rsidP="00BD4F6A">
      <w:pPr>
        <w:spacing w:before="0" w:after="0"/>
        <w:rPr>
          <w:rFonts w:eastAsia="Calibri" w:cs="Times New Roman"/>
          <w:b/>
          <w:sz w:val="22"/>
          <w:szCs w:val="22"/>
        </w:rPr>
      </w:pPr>
      <w:r>
        <w:rPr>
          <w:rFonts w:eastAsia="Calibri" w:cs="Times New Roman"/>
          <w:b/>
          <w:sz w:val="22"/>
          <w:szCs w:val="22"/>
        </w:rPr>
        <w:t>6</w:t>
      </w:r>
      <w:r w:rsidR="00BD4F6A" w:rsidRPr="006609FF">
        <w:rPr>
          <w:rFonts w:eastAsia="Calibri" w:cs="Times New Roman"/>
          <w:b/>
          <w:sz w:val="22"/>
          <w:szCs w:val="22"/>
        </w:rPr>
        <w:t xml:space="preserve">. </w:t>
      </w:r>
      <w:r w:rsidR="00BD4F6A">
        <w:rPr>
          <w:rFonts w:eastAsia="Calibri" w:cs="Times New Roman"/>
          <w:b/>
          <w:sz w:val="22"/>
          <w:szCs w:val="22"/>
        </w:rPr>
        <w:t>Posición en moneda extranjera y protección por riesgo cambiario.</w:t>
      </w:r>
    </w:p>
    <w:p w14:paraId="30483456" w14:textId="4316B964" w:rsidR="00BD4F6A" w:rsidRPr="006609FF"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5D0C82CF" w14:textId="77777777" w:rsidR="00BD4F6A" w:rsidRPr="005A5120" w:rsidRDefault="00BD4F6A" w:rsidP="00BD4F6A">
      <w:pPr>
        <w:spacing w:before="0" w:after="0"/>
        <w:rPr>
          <w:rFonts w:eastAsia="Calibri" w:cs="Times New Roman"/>
          <w:b/>
          <w:sz w:val="22"/>
          <w:szCs w:val="22"/>
        </w:rPr>
      </w:pPr>
    </w:p>
    <w:p w14:paraId="4403288C" w14:textId="7093F493" w:rsidR="00BD4F6A" w:rsidRDefault="00860C1E" w:rsidP="00BD4F6A">
      <w:pPr>
        <w:spacing w:before="0" w:after="0"/>
        <w:rPr>
          <w:rFonts w:eastAsia="Calibri" w:cs="Times New Roman"/>
          <w:b/>
          <w:sz w:val="22"/>
          <w:szCs w:val="22"/>
        </w:rPr>
      </w:pPr>
      <w:r>
        <w:rPr>
          <w:rFonts w:eastAsia="Calibri" w:cs="Times New Roman"/>
          <w:b/>
          <w:sz w:val="22"/>
          <w:szCs w:val="22"/>
        </w:rPr>
        <w:t>7</w:t>
      </w:r>
      <w:r w:rsidR="00BD4F6A">
        <w:rPr>
          <w:rFonts w:eastAsia="Calibri" w:cs="Times New Roman"/>
          <w:b/>
          <w:sz w:val="22"/>
          <w:szCs w:val="22"/>
        </w:rPr>
        <w:t>. Reporte Analítico del Activo.</w:t>
      </w:r>
    </w:p>
    <w:p w14:paraId="583CEB3E" w14:textId="340BBAF9" w:rsidR="00BD4F6A" w:rsidRDefault="00BD4F6A" w:rsidP="00BD4F6A">
      <w:pPr>
        <w:spacing w:before="0" w:after="0"/>
        <w:rPr>
          <w:rFonts w:eastAsia="Calibri" w:cs="Times New Roman"/>
          <w:bCs/>
          <w:sz w:val="22"/>
          <w:szCs w:val="22"/>
        </w:rPr>
      </w:pPr>
      <w:r>
        <w:rPr>
          <w:rFonts w:eastAsia="Calibri" w:cs="Times New Roman"/>
          <w:b/>
          <w:sz w:val="22"/>
          <w:szCs w:val="22"/>
        </w:rPr>
        <w:t>a). Vida útil, porcentajes de depreciación, deterioro o amortización utilizados en los diferentes tipos de activos.</w:t>
      </w:r>
    </w:p>
    <w:p w14:paraId="341994E6"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a través de su Dirección de Patrimonio Estatal, se encuentra en proceso de actualización y levantamiento de inventario físico de los bienes muebles e inmuebles, registrando conforme a lo establecido en las Principales Reglas de Registro y Valoración del Patrimonio, las Reglas Específicas del Registro y Valoración del Patrimonio y los Parámetros de Estimación de Vida Útil, emitidas y publicadas por el Consejo Nacional de Armonización Contable.</w:t>
      </w:r>
    </w:p>
    <w:p w14:paraId="3398244F" w14:textId="77777777" w:rsidR="00BD4F6A" w:rsidRDefault="00BD4F6A" w:rsidP="00BD4F6A">
      <w:pPr>
        <w:spacing w:before="0" w:after="0"/>
        <w:rPr>
          <w:rFonts w:eastAsia="Calibri" w:cs="Times New Roman"/>
          <w:b/>
          <w:sz w:val="22"/>
          <w:szCs w:val="22"/>
        </w:rPr>
      </w:pPr>
    </w:p>
    <w:p w14:paraId="6EB5C3DD" w14:textId="77777777" w:rsidR="00BD4F6A" w:rsidRDefault="00BD4F6A" w:rsidP="00BD4F6A">
      <w:pPr>
        <w:spacing w:before="0" w:after="0"/>
        <w:rPr>
          <w:rFonts w:eastAsia="Calibri" w:cs="Times New Roman"/>
          <w:b/>
          <w:sz w:val="22"/>
          <w:szCs w:val="22"/>
        </w:rPr>
      </w:pPr>
      <w:r>
        <w:rPr>
          <w:rFonts w:eastAsia="Calibri" w:cs="Times New Roman"/>
          <w:b/>
          <w:sz w:val="22"/>
          <w:szCs w:val="22"/>
        </w:rPr>
        <w:t>b) Cambios en el porcentaje de depreciación o valor residual de los activos.</w:t>
      </w:r>
    </w:p>
    <w:p w14:paraId="69220648" w14:textId="77777777" w:rsidR="00BD4F6A" w:rsidRDefault="00BD4F6A" w:rsidP="00BD4F6A">
      <w:pPr>
        <w:spacing w:before="0" w:after="0"/>
        <w:rPr>
          <w:rFonts w:eastAsia="Calibri" w:cs="Times New Roman"/>
          <w:bCs/>
          <w:sz w:val="22"/>
          <w:szCs w:val="22"/>
        </w:rPr>
      </w:pPr>
      <w:r>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5957F057" w14:textId="77777777" w:rsidR="00BD4F6A" w:rsidRDefault="00BD4F6A" w:rsidP="00BD4F6A">
      <w:pPr>
        <w:spacing w:before="0" w:after="0"/>
        <w:rPr>
          <w:rFonts w:eastAsia="Calibri" w:cs="Times New Roman"/>
          <w:bCs/>
          <w:sz w:val="22"/>
          <w:szCs w:val="22"/>
        </w:rPr>
      </w:pPr>
    </w:p>
    <w:p w14:paraId="1DAC20EF" w14:textId="77777777" w:rsidR="00BD4F6A" w:rsidRDefault="00BD4F6A" w:rsidP="00BD4F6A">
      <w:pPr>
        <w:spacing w:before="0" w:after="0"/>
        <w:rPr>
          <w:rFonts w:eastAsia="Calibri" w:cs="Times New Roman"/>
          <w:b/>
          <w:sz w:val="22"/>
          <w:szCs w:val="22"/>
        </w:rPr>
      </w:pPr>
      <w:r w:rsidRPr="00EF61E2">
        <w:rPr>
          <w:rFonts w:eastAsia="Calibri" w:cs="Times New Roman"/>
          <w:b/>
          <w:sz w:val="22"/>
          <w:szCs w:val="22"/>
        </w:rPr>
        <w:t>c)</w:t>
      </w:r>
      <w:r>
        <w:rPr>
          <w:rFonts w:eastAsia="Calibri" w:cs="Times New Roman"/>
          <w:b/>
          <w:sz w:val="22"/>
          <w:szCs w:val="22"/>
        </w:rPr>
        <w:t xml:space="preserve"> Importe de los gastos capitalizados en el ejercicio, tanto financieros con de investigación y desarrollo.</w:t>
      </w:r>
    </w:p>
    <w:p w14:paraId="6F7836CE" w14:textId="11BC12A6" w:rsidR="00BD4F6A" w:rsidRDefault="00BD4F6A" w:rsidP="00BD4F6A">
      <w:pPr>
        <w:spacing w:before="0" w:after="0"/>
        <w:rPr>
          <w:rFonts w:eastAsia="Calibri" w:cs="Times New Roman"/>
          <w:bCs/>
          <w:sz w:val="22"/>
          <w:szCs w:val="22"/>
        </w:rPr>
      </w:pPr>
      <w:r>
        <w:rPr>
          <w:rFonts w:eastAsia="Calibri" w:cs="Times New Roman"/>
          <w:bCs/>
          <w:sz w:val="22"/>
          <w:szCs w:val="22"/>
        </w:rPr>
        <w:t xml:space="preserve">Durante </w:t>
      </w:r>
      <w:r w:rsidR="00860C1E">
        <w:rPr>
          <w:rFonts w:eastAsia="Calibri" w:cs="Times New Roman"/>
          <w:bCs/>
          <w:sz w:val="22"/>
          <w:szCs w:val="22"/>
        </w:rPr>
        <w:t>el</w:t>
      </w:r>
      <w:r>
        <w:rPr>
          <w:rFonts w:eastAsia="Calibri" w:cs="Times New Roman"/>
          <w:bCs/>
          <w:sz w:val="22"/>
          <w:szCs w:val="22"/>
        </w:rPr>
        <w:t xml:space="preserve"> ejercicio</w:t>
      </w:r>
      <w:r w:rsidR="00860C1E">
        <w:rPr>
          <w:rFonts w:eastAsia="Calibri" w:cs="Times New Roman"/>
          <w:bCs/>
          <w:sz w:val="22"/>
          <w:szCs w:val="22"/>
        </w:rPr>
        <w:t xml:space="preserve"> 2022</w:t>
      </w:r>
      <w:r>
        <w:rPr>
          <w:rFonts w:eastAsia="Calibri" w:cs="Times New Roman"/>
          <w:bCs/>
          <w:sz w:val="22"/>
          <w:szCs w:val="22"/>
        </w:rPr>
        <w:t xml:space="preserve"> no se ha realizado capitalización de gastos.</w:t>
      </w:r>
    </w:p>
    <w:p w14:paraId="0A591167" w14:textId="3F88F3FA" w:rsidR="00BD4F6A" w:rsidRDefault="00BD4F6A" w:rsidP="00BD4F6A">
      <w:pPr>
        <w:spacing w:before="0" w:after="0"/>
        <w:rPr>
          <w:rFonts w:eastAsia="Calibri" w:cs="Times New Roman"/>
          <w:b/>
          <w:sz w:val="22"/>
          <w:szCs w:val="22"/>
        </w:rPr>
      </w:pPr>
      <w:r w:rsidRPr="00EF61E2">
        <w:rPr>
          <w:rFonts w:eastAsia="Calibri" w:cs="Times New Roman"/>
          <w:b/>
          <w:sz w:val="22"/>
          <w:szCs w:val="22"/>
        </w:rPr>
        <w:t>d)</w:t>
      </w:r>
      <w:r>
        <w:rPr>
          <w:rFonts w:eastAsia="Calibri" w:cs="Times New Roman"/>
          <w:b/>
          <w:sz w:val="22"/>
          <w:szCs w:val="22"/>
        </w:rPr>
        <w:t xml:space="preserve"> Riesgos por tipo de cambio o tipo de interés de las inversiones financieras.</w:t>
      </w:r>
    </w:p>
    <w:p w14:paraId="15FD5B23"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realiza inversiones en moneda extranjera ni consideradas de riesgo.</w:t>
      </w:r>
    </w:p>
    <w:p w14:paraId="339E0277" w14:textId="77777777" w:rsidR="00BD4F6A" w:rsidRDefault="00BD4F6A" w:rsidP="00BD4F6A">
      <w:pPr>
        <w:spacing w:before="0" w:after="0"/>
        <w:rPr>
          <w:rFonts w:eastAsia="Calibri" w:cs="Times New Roman"/>
          <w:bCs/>
          <w:sz w:val="22"/>
          <w:szCs w:val="22"/>
        </w:rPr>
      </w:pPr>
    </w:p>
    <w:p w14:paraId="4FD16446" w14:textId="77777777" w:rsidR="00BD4F6A" w:rsidRPr="00AF64ED" w:rsidRDefault="00BD4F6A" w:rsidP="00BD4F6A">
      <w:pPr>
        <w:spacing w:before="0" w:after="0"/>
        <w:rPr>
          <w:rFonts w:eastAsia="Calibri" w:cs="Times New Roman"/>
          <w:b/>
          <w:sz w:val="22"/>
          <w:szCs w:val="22"/>
        </w:rPr>
      </w:pPr>
      <w:r>
        <w:rPr>
          <w:rFonts w:eastAsia="Calibri" w:cs="Times New Roman"/>
          <w:b/>
          <w:sz w:val="22"/>
          <w:szCs w:val="22"/>
        </w:rPr>
        <w:t>e) Valor activado en el ejercicio de los bienes construidos por la entidad.</w:t>
      </w:r>
    </w:p>
    <w:p w14:paraId="2F00B17D"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48A5DD01" w14:textId="77777777" w:rsidR="00BD4F6A" w:rsidRDefault="00BD4F6A" w:rsidP="00BD4F6A">
      <w:pPr>
        <w:spacing w:before="0" w:after="0"/>
        <w:rPr>
          <w:rFonts w:eastAsia="Calibri" w:cs="Times New Roman"/>
          <w:bCs/>
          <w:sz w:val="22"/>
          <w:szCs w:val="22"/>
        </w:rPr>
      </w:pPr>
    </w:p>
    <w:p w14:paraId="1E1C4BFA" w14:textId="77777777" w:rsidR="00BD4F6A" w:rsidRPr="00AF64ED" w:rsidRDefault="00BD4F6A" w:rsidP="00BD4F6A">
      <w:pPr>
        <w:spacing w:before="0" w:after="0"/>
        <w:rPr>
          <w:rFonts w:eastAsia="Calibri" w:cs="Times New Roman"/>
          <w:b/>
          <w:sz w:val="22"/>
          <w:szCs w:val="22"/>
        </w:rPr>
      </w:pPr>
      <w:r w:rsidRPr="00AF64ED">
        <w:rPr>
          <w:rFonts w:eastAsia="Calibri" w:cs="Times New Roman"/>
          <w:b/>
          <w:sz w:val="22"/>
          <w:szCs w:val="22"/>
        </w:rPr>
        <w:t>f)</w:t>
      </w:r>
      <w:r>
        <w:rPr>
          <w:rFonts w:eastAsia="Calibri" w:cs="Times New Roman"/>
          <w:b/>
          <w:sz w:val="22"/>
          <w:szCs w:val="22"/>
        </w:rPr>
        <w:t xml:space="preserve"> Otras circunstancias de carácter significativo que afecten el activo.</w:t>
      </w:r>
    </w:p>
    <w:p w14:paraId="3E9B7CC7"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6E0EB8A7" w14:textId="77777777" w:rsidR="00BD4F6A" w:rsidRDefault="00BD4F6A" w:rsidP="00BD4F6A">
      <w:pPr>
        <w:spacing w:before="0" w:after="0"/>
        <w:rPr>
          <w:rFonts w:eastAsia="Calibri" w:cs="Times New Roman"/>
          <w:b/>
          <w:sz w:val="22"/>
          <w:szCs w:val="22"/>
        </w:rPr>
      </w:pPr>
    </w:p>
    <w:p w14:paraId="45CEE11E" w14:textId="77777777" w:rsidR="00BD4F6A" w:rsidRDefault="00BD4F6A" w:rsidP="00BD4F6A">
      <w:pPr>
        <w:spacing w:before="0" w:after="0"/>
        <w:rPr>
          <w:rFonts w:eastAsia="Calibri" w:cs="Times New Roman"/>
          <w:b/>
          <w:sz w:val="22"/>
          <w:szCs w:val="22"/>
        </w:rPr>
      </w:pPr>
      <w:r>
        <w:rPr>
          <w:rFonts w:eastAsia="Calibri" w:cs="Times New Roman"/>
          <w:b/>
          <w:sz w:val="22"/>
          <w:szCs w:val="22"/>
        </w:rPr>
        <w:t xml:space="preserve">g) Desmantelamiento de Activos. </w:t>
      </w:r>
    </w:p>
    <w:p w14:paraId="2C9F1EE1"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6F70758D" w14:textId="77777777" w:rsidR="00BD4F6A" w:rsidRDefault="00BD4F6A" w:rsidP="00BD4F6A">
      <w:pPr>
        <w:spacing w:before="0" w:after="0"/>
        <w:rPr>
          <w:rFonts w:eastAsia="Calibri" w:cs="Times New Roman"/>
          <w:b/>
          <w:sz w:val="22"/>
          <w:szCs w:val="22"/>
        </w:rPr>
      </w:pPr>
    </w:p>
    <w:p w14:paraId="485A9DEE" w14:textId="77777777" w:rsidR="00BD4F6A" w:rsidRDefault="00BD4F6A" w:rsidP="00BD4F6A">
      <w:pPr>
        <w:spacing w:before="0" w:after="0"/>
        <w:rPr>
          <w:rFonts w:eastAsia="Calibri" w:cs="Times New Roman"/>
          <w:b/>
          <w:sz w:val="22"/>
          <w:szCs w:val="22"/>
        </w:rPr>
      </w:pPr>
      <w:r>
        <w:rPr>
          <w:rFonts w:eastAsia="Calibri" w:cs="Times New Roman"/>
          <w:b/>
          <w:sz w:val="22"/>
          <w:szCs w:val="22"/>
        </w:rPr>
        <w:t>h) Planeación de activos.</w:t>
      </w:r>
    </w:p>
    <w:p w14:paraId="5769891A"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06BD9BE4" w14:textId="71E3A75F" w:rsidR="00BD4F6A" w:rsidRPr="00EF61E2" w:rsidRDefault="00860C1E" w:rsidP="00BD4F6A">
      <w:pPr>
        <w:spacing w:before="0" w:after="0"/>
        <w:rPr>
          <w:rFonts w:eastAsia="Calibri" w:cs="Times New Roman"/>
          <w:b/>
          <w:sz w:val="22"/>
          <w:szCs w:val="22"/>
        </w:rPr>
      </w:pPr>
      <w:r>
        <w:rPr>
          <w:rFonts w:eastAsia="Calibri" w:cs="Times New Roman"/>
          <w:b/>
          <w:sz w:val="22"/>
          <w:szCs w:val="22"/>
        </w:rPr>
        <w:t>8</w:t>
      </w:r>
      <w:r w:rsidR="00BD4F6A">
        <w:rPr>
          <w:rFonts w:eastAsia="Calibri" w:cs="Times New Roman"/>
          <w:b/>
          <w:sz w:val="22"/>
          <w:szCs w:val="22"/>
        </w:rPr>
        <w:t>. Fideicomisos, Mandatos y Análogos.</w:t>
      </w:r>
    </w:p>
    <w:p w14:paraId="33122D74" w14:textId="77777777" w:rsidR="00BD4F6A" w:rsidRDefault="00BD4F6A" w:rsidP="00BD4F6A">
      <w:pPr>
        <w:spacing w:before="0" w:after="0"/>
        <w:rPr>
          <w:rFonts w:eastAsia="Calibri" w:cs="Times New Roman"/>
          <w:bCs/>
          <w:sz w:val="22"/>
          <w:szCs w:val="22"/>
        </w:rPr>
      </w:pPr>
      <w:r>
        <w:rPr>
          <w:rFonts w:eastAsia="Calibri" w:cs="Times New Roman"/>
          <w:bCs/>
          <w:sz w:val="22"/>
          <w:szCs w:val="22"/>
        </w:rPr>
        <w:lastRenderedPageBreak/>
        <w:t>El gobierno del Estado de Michoacán cuenta con Fideicomisos sectorizados a sus diferentes Dependencias, los cuales se muestran a continuación:</w:t>
      </w:r>
    </w:p>
    <w:p w14:paraId="0A4B88E7" w14:textId="2B03BB38" w:rsidR="00BD4F6A" w:rsidRDefault="00533B4A" w:rsidP="00BD4F6A">
      <w:pPr>
        <w:spacing w:before="0" w:after="0"/>
        <w:rPr>
          <w:rFonts w:eastAsia="Calibri" w:cs="Times New Roman"/>
          <w:bCs/>
          <w:sz w:val="22"/>
          <w:szCs w:val="22"/>
        </w:rPr>
      </w:pPr>
      <w:r w:rsidRPr="00533B4A">
        <w:rPr>
          <w:rFonts w:eastAsia="Calibri" w:cs="Times New Roman"/>
          <w:bCs/>
          <w:noProof/>
          <w:sz w:val="22"/>
          <w:szCs w:val="22"/>
        </w:rPr>
        <w:drawing>
          <wp:inline distT="0" distB="0" distL="0" distR="0" wp14:anchorId="49322A1C" wp14:editId="3F9DE6FD">
            <wp:extent cx="6419850" cy="6638925"/>
            <wp:effectExtent l="0" t="0" r="0" b="952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5182" cy="6644439"/>
                    </a:xfrm>
                    <a:prstGeom prst="rect">
                      <a:avLst/>
                    </a:prstGeom>
                  </pic:spPr>
                </pic:pic>
              </a:graphicData>
            </a:graphic>
          </wp:inline>
        </w:drawing>
      </w:r>
    </w:p>
    <w:p w14:paraId="0ECFAE88" w14:textId="091BAB1A" w:rsidR="00BD4F6A" w:rsidRDefault="00533B4A" w:rsidP="00BD4F6A">
      <w:pPr>
        <w:spacing w:before="0" w:after="0"/>
        <w:rPr>
          <w:rFonts w:eastAsia="Calibri" w:cs="Times New Roman"/>
          <w:bCs/>
          <w:sz w:val="22"/>
          <w:szCs w:val="22"/>
        </w:rPr>
      </w:pPr>
      <w:r w:rsidRPr="00533B4A">
        <w:rPr>
          <w:rFonts w:eastAsia="Calibri" w:cs="Times New Roman"/>
          <w:bCs/>
          <w:noProof/>
          <w:sz w:val="22"/>
          <w:szCs w:val="22"/>
        </w:rPr>
        <w:lastRenderedPageBreak/>
        <w:drawing>
          <wp:inline distT="0" distB="0" distL="0" distR="0" wp14:anchorId="057FC377" wp14:editId="45A15717">
            <wp:extent cx="6486525" cy="8148320"/>
            <wp:effectExtent l="0" t="0" r="9525" b="508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92990" cy="8156441"/>
                    </a:xfrm>
                    <a:prstGeom prst="rect">
                      <a:avLst/>
                    </a:prstGeom>
                  </pic:spPr>
                </pic:pic>
              </a:graphicData>
            </a:graphic>
          </wp:inline>
        </w:drawing>
      </w:r>
    </w:p>
    <w:p w14:paraId="591F1232" w14:textId="42E56B93" w:rsidR="00533B4A" w:rsidRDefault="00533B4A" w:rsidP="00BD4F6A">
      <w:pPr>
        <w:spacing w:before="0" w:after="0"/>
        <w:rPr>
          <w:rFonts w:eastAsia="Calibri" w:cs="Times New Roman"/>
          <w:bCs/>
          <w:sz w:val="22"/>
          <w:szCs w:val="22"/>
        </w:rPr>
      </w:pPr>
      <w:r w:rsidRPr="00533B4A">
        <w:rPr>
          <w:rFonts w:eastAsia="Calibri" w:cs="Times New Roman"/>
          <w:bCs/>
          <w:noProof/>
          <w:sz w:val="22"/>
          <w:szCs w:val="22"/>
        </w:rPr>
        <w:lastRenderedPageBreak/>
        <w:drawing>
          <wp:inline distT="0" distB="0" distL="0" distR="0" wp14:anchorId="765CADF5" wp14:editId="635F791D">
            <wp:extent cx="6296025" cy="6357660"/>
            <wp:effectExtent l="0" t="0" r="0" b="508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5429" cy="6367156"/>
                    </a:xfrm>
                    <a:prstGeom prst="rect">
                      <a:avLst/>
                    </a:prstGeom>
                  </pic:spPr>
                </pic:pic>
              </a:graphicData>
            </a:graphic>
          </wp:inline>
        </w:drawing>
      </w:r>
    </w:p>
    <w:p w14:paraId="50675C1D" w14:textId="10A58F34" w:rsidR="00BD4F6A" w:rsidRDefault="00D63DFA" w:rsidP="00BD4F6A">
      <w:pPr>
        <w:spacing w:before="0" w:after="0"/>
        <w:rPr>
          <w:rFonts w:eastAsia="Calibri" w:cs="Times New Roman"/>
          <w:b/>
          <w:sz w:val="22"/>
          <w:szCs w:val="22"/>
        </w:rPr>
      </w:pPr>
      <w:r>
        <w:rPr>
          <w:rFonts w:eastAsia="Calibri" w:cs="Times New Roman"/>
          <w:b/>
          <w:sz w:val="22"/>
          <w:szCs w:val="22"/>
        </w:rPr>
        <w:t>9</w:t>
      </w:r>
      <w:r w:rsidR="00BD4F6A">
        <w:rPr>
          <w:rFonts w:eastAsia="Calibri" w:cs="Times New Roman"/>
          <w:b/>
          <w:sz w:val="22"/>
          <w:szCs w:val="22"/>
        </w:rPr>
        <w:t>. Reporte de la Recaudación</w:t>
      </w:r>
    </w:p>
    <w:p w14:paraId="1518552D" w14:textId="77777777" w:rsidR="00BD4F6A" w:rsidRDefault="00BD4F6A" w:rsidP="00BD4F6A">
      <w:pPr>
        <w:spacing w:before="0" w:after="0"/>
        <w:rPr>
          <w:rFonts w:eastAsia="Calibri" w:cs="Times New Roman"/>
          <w:b/>
          <w:sz w:val="22"/>
          <w:szCs w:val="22"/>
        </w:rPr>
      </w:pPr>
      <w:r>
        <w:rPr>
          <w:rFonts w:eastAsia="Calibri" w:cs="Times New Roman"/>
          <w:b/>
          <w:sz w:val="22"/>
          <w:szCs w:val="22"/>
        </w:rPr>
        <w:t>a) Análisis del comportamiento de la recaudación.</w:t>
      </w:r>
    </w:p>
    <w:p w14:paraId="458ADE13" w14:textId="362F0E29" w:rsidR="00BD4F6A" w:rsidRPr="0052472F" w:rsidRDefault="00C85D46" w:rsidP="00BD4F6A">
      <w:pPr>
        <w:spacing w:before="0" w:after="0"/>
        <w:rPr>
          <w:rFonts w:eastAsia="Calibri" w:cs="Times New Roman"/>
          <w:bCs/>
          <w:sz w:val="22"/>
          <w:szCs w:val="22"/>
        </w:rPr>
      </w:pPr>
      <w:r>
        <w:rPr>
          <w:rFonts w:eastAsia="Calibri" w:cs="Times New Roman"/>
          <w:bCs/>
          <w:sz w:val="22"/>
          <w:szCs w:val="22"/>
        </w:rPr>
        <w:t xml:space="preserve">Durante el ejercicio se </w:t>
      </w:r>
      <w:r w:rsidRPr="0077166D">
        <w:rPr>
          <w:rFonts w:eastAsia="Calibri" w:cs="Times New Roman"/>
          <w:bCs/>
          <w:sz w:val="22"/>
          <w:szCs w:val="22"/>
        </w:rPr>
        <w:t>recaudaron 8</w:t>
      </w:r>
      <w:r w:rsidR="0077166D" w:rsidRPr="0077166D">
        <w:rPr>
          <w:rFonts w:eastAsia="Calibri" w:cs="Times New Roman"/>
          <w:bCs/>
          <w:sz w:val="22"/>
          <w:szCs w:val="22"/>
        </w:rPr>
        <w:t>9</w:t>
      </w:r>
      <w:r w:rsidRPr="0077166D">
        <w:rPr>
          <w:rFonts w:eastAsia="Calibri" w:cs="Times New Roman"/>
          <w:bCs/>
          <w:sz w:val="22"/>
          <w:szCs w:val="22"/>
        </w:rPr>
        <w:t xml:space="preserve"> mil </w:t>
      </w:r>
      <w:r w:rsidR="0077166D" w:rsidRPr="0077166D">
        <w:rPr>
          <w:rFonts w:eastAsia="Calibri" w:cs="Times New Roman"/>
          <w:bCs/>
          <w:sz w:val="22"/>
          <w:szCs w:val="22"/>
        </w:rPr>
        <w:t>322</w:t>
      </w:r>
      <w:r w:rsidRPr="0077166D">
        <w:rPr>
          <w:rFonts w:eastAsia="Calibri" w:cs="Times New Roman"/>
          <w:bCs/>
          <w:sz w:val="22"/>
          <w:szCs w:val="22"/>
        </w:rPr>
        <w:t xml:space="preserve">, millones </w:t>
      </w:r>
      <w:r w:rsidR="0077166D" w:rsidRPr="0077166D">
        <w:rPr>
          <w:rFonts w:eastAsia="Calibri" w:cs="Times New Roman"/>
          <w:bCs/>
          <w:sz w:val="22"/>
          <w:szCs w:val="22"/>
        </w:rPr>
        <w:t>333</w:t>
      </w:r>
      <w:r w:rsidRPr="0077166D">
        <w:rPr>
          <w:rFonts w:eastAsia="Calibri" w:cs="Times New Roman"/>
          <w:bCs/>
          <w:sz w:val="22"/>
          <w:szCs w:val="22"/>
        </w:rPr>
        <w:t xml:space="preserve"> mil </w:t>
      </w:r>
      <w:r w:rsidR="0077166D">
        <w:rPr>
          <w:rFonts w:eastAsia="Calibri" w:cs="Times New Roman"/>
          <w:bCs/>
          <w:sz w:val="22"/>
          <w:szCs w:val="22"/>
        </w:rPr>
        <w:t>632</w:t>
      </w:r>
      <w:r>
        <w:rPr>
          <w:rFonts w:eastAsia="Calibri" w:cs="Times New Roman"/>
          <w:bCs/>
          <w:sz w:val="22"/>
          <w:szCs w:val="22"/>
        </w:rPr>
        <w:t xml:space="preserve"> pesos, </w:t>
      </w:r>
      <w:bookmarkStart w:id="1" w:name="_Hlk133586802"/>
      <w:r>
        <w:rPr>
          <w:rFonts w:eastAsia="Calibri" w:cs="Times New Roman"/>
          <w:bCs/>
          <w:sz w:val="22"/>
          <w:szCs w:val="22"/>
        </w:rPr>
        <w:t>que representaron un 1</w:t>
      </w:r>
      <w:r w:rsidR="0077166D">
        <w:rPr>
          <w:rFonts w:eastAsia="Calibri" w:cs="Times New Roman"/>
          <w:bCs/>
          <w:sz w:val="22"/>
          <w:szCs w:val="22"/>
        </w:rPr>
        <w:t>1.81</w:t>
      </w:r>
      <w:r>
        <w:rPr>
          <w:rFonts w:eastAsia="Calibri" w:cs="Times New Roman"/>
          <w:bCs/>
          <w:sz w:val="22"/>
          <w:szCs w:val="22"/>
        </w:rPr>
        <w:t>% de aumento en la recaudación, en comparación con el ejercicio 2021</w:t>
      </w:r>
      <w:bookmarkEnd w:id="1"/>
      <w:r>
        <w:rPr>
          <w:rFonts w:eastAsia="Calibri" w:cs="Times New Roman"/>
          <w:bCs/>
          <w:sz w:val="22"/>
          <w:szCs w:val="22"/>
        </w:rPr>
        <w:t xml:space="preserve">. </w:t>
      </w:r>
      <w:r w:rsidR="00BD4F6A">
        <w:rPr>
          <w:rFonts w:eastAsia="Calibri" w:cs="Times New Roman"/>
          <w:bCs/>
          <w:sz w:val="22"/>
          <w:szCs w:val="22"/>
        </w:rPr>
        <w:t xml:space="preserve">Los ingresos </w:t>
      </w:r>
      <w:r w:rsidR="00BD4F6A">
        <w:rPr>
          <w:rFonts w:eastAsia="Calibri" w:cs="Times New Roman"/>
          <w:bCs/>
          <w:sz w:val="22"/>
          <w:szCs w:val="22"/>
        </w:rPr>
        <w:lastRenderedPageBreak/>
        <w:t xml:space="preserve">recaudados, tanto locales como federales, se desglosan en el apartado </w:t>
      </w:r>
      <w:r w:rsidR="00BD4F6A" w:rsidRPr="0052472F">
        <w:rPr>
          <w:rFonts w:eastAsia="Calibri" w:cs="Times New Roman"/>
          <w:b/>
          <w:sz w:val="22"/>
          <w:szCs w:val="22"/>
        </w:rPr>
        <w:t xml:space="preserve">II.1 Análisis de los </w:t>
      </w:r>
      <w:r w:rsidR="00312609">
        <w:rPr>
          <w:rFonts w:eastAsia="Calibri" w:cs="Times New Roman"/>
          <w:b/>
          <w:sz w:val="22"/>
          <w:szCs w:val="22"/>
        </w:rPr>
        <w:t>I</w:t>
      </w:r>
      <w:r w:rsidR="00BD4F6A" w:rsidRPr="0052472F">
        <w:rPr>
          <w:rFonts w:eastAsia="Calibri" w:cs="Times New Roman"/>
          <w:b/>
          <w:sz w:val="22"/>
          <w:szCs w:val="22"/>
        </w:rPr>
        <w:t>ngresos</w:t>
      </w:r>
      <w:r w:rsidR="00BD4F6A">
        <w:rPr>
          <w:rFonts w:eastAsia="Calibri" w:cs="Times New Roman"/>
          <w:b/>
          <w:sz w:val="22"/>
          <w:szCs w:val="22"/>
        </w:rPr>
        <w:t>.</w:t>
      </w:r>
    </w:p>
    <w:p w14:paraId="7B765CB6" w14:textId="77777777" w:rsidR="00BD4F6A" w:rsidRDefault="00BD4F6A" w:rsidP="00BD4F6A">
      <w:pPr>
        <w:spacing w:before="0" w:after="0"/>
        <w:rPr>
          <w:rFonts w:eastAsia="Calibri" w:cs="Times New Roman"/>
          <w:b/>
          <w:sz w:val="22"/>
          <w:szCs w:val="22"/>
        </w:rPr>
      </w:pPr>
    </w:p>
    <w:p w14:paraId="06CF9BD8" w14:textId="77777777" w:rsidR="00BD4F6A" w:rsidRDefault="00BD4F6A" w:rsidP="00BD4F6A">
      <w:pPr>
        <w:spacing w:before="0" w:after="0"/>
        <w:rPr>
          <w:rFonts w:eastAsia="Calibri" w:cs="Times New Roman"/>
          <w:b/>
          <w:sz w:val="22"/>
          <w:szCs w:val="22"/>
        </w:rPr>
      </w:pPr>
      <w:r>
        <w:rPr>
          <w:rFonts w:eastAsia="Calibri" w:cs="Times New Roman"/>
          <w:b/>
          <w:sz w:val="22"/>
          <w:szCs w:val="22"/>
        </w:rPr>
        <w:t>b) Proyección de la Recaudación a mediano plazo.</w:t>
      </w:r>
    </w:p>
    <w:p w14:paraId="659A6C55"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tiene proyectada la recaudación en los siguientes 5 ejercicios como se muestra a continuación:</w:t>
      </w:r>
    </w:p>
    <w:p w14:paraId="703AE1ED" w14:textId="77777777" w:rsidR="00BD4F6A" w:rsidRPr="0052472F" w:rsidRDefault="00BD4F6A" w:rsidP="00BD4F6A">
      <w:pPr>
        <w:spacing w:before="0" w:after="0"/>
        <w:rPr>
          <w:rFonts w:eastAsia="Calibri" w:cs="Times New Roman"/>
          <w:bCs/>
          <w:sz w:val="22"/>
          <w:szCs w:val="22"/>
        </w:rPr>
      </w:pPr>
      <w:r w:rsidRPr="004164B0">
        <w:rPr>
          <w:noProof/>
        </w:rPr>
        <w:drawing>
          <wp:inline distT="0" distB="0" distL="0" distR="0" wp14:anchorId="25E62C30" wp14:editId="0A39ED5B">
            <wp:extent cx="6543675" cy="543687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6401" cy="5439135"/>
                    </a:xfrm>
                    <a:prstGeom prst="rect">
                      <a:avLst/>
                    </a:prstGeom>
                    <a:noFill/>
                    <a:ln>
                      <a:noFill/>
                    </a:ln>
                  </pic:spPr>
                </pic:pic>
              </a:graphicData>
            </a:graphic>
          </wp:inline>
        </w:drawing>
      </w:r>
    </w:p>
    <w:p w14:paraId="1DFA3444" w14:textId="77777777" w:rsidR="00BD4F6A" w:rsidRDefault="00BD4F6A" w:rsidP="00BD4F6A">
      <w:pPr>
        <w:spacing w:before="0" w:after="0"/>
        <w:rPr>
          <w:rFonts w:eastAsia="Calibri" w:cs="Times New Roman"/>
          <w:bCs/>
          <w:sz w:val="22"/>
          <w:szCs w:val="22"/>
        </w:rPr>
      </w:pPr>
      <w:bookmarkStart w:id="2" w:name="_Hlk133588066"/>
      <w:r w:rsidRPr="0052472F">
        <w:rPr>
          <w:rFonts w:eastAsia="Calibri" w:cs="Times New Roman"/>
          <w:bCs/>
          <w:sz w:val="22"/>
          <w:szCs w:val="22"/>
        </w:rPr>
        <w:t xml:space="preserve">Para realizar el pronóstico de los impuestos a recaudar en el período 2023-2028 se implementó un análisis econométrico de suavizamiento exponencial multiplicativo, utilizando los datos de </w:t>
      </w:r>
      <w:r w:rsidRPr="0052472F">
        <w:rPr>
          <w:rFonts w:eastAsia="Calibri" w:cs="Times New Roman"/>
          <w:bCs/>
          <w:sz w:val="22"/>
          <w:szCs w:val="22"/>
        </w:rPr>
        <w:lastRenderedPageBreak/>
        <w:t xml:space="preserve">recaudación en una serie de tiempo mensual de julio de 2018 a agosto del 2022, a partir de los cuales el modelo proyecta la cantidad a recaudar por cada mes correspondiente de cada año del período, en función del comportamiento histórico del período. Adicionalmente se consideran otras variables que tienen incidencia específica en la proyección de cada uno de los impuestos estatales: </w:t>
      </w:r>
    </w:p>
    <w:p w14:paraId="22B3CF39" w14:textId="77777777"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a. Composición del Padrón de Contribuyentes</w:t>
      </w:r>
      <w:r w:rsidRPr="0052472F">
        <w:rPr>
          <w:rFonts w:eastAsia="Calibri" w:cs="Times New Roman"/>
          <w:bCs/>
          <w:sz w:val="22"/>
          <w:szCs w:val="22"/>
        </w:rPr>
        <w:t>, en donde la recaudación del sector público federal, estatal y municipal, para el caso del Impuesto sobre Nómina tiene un comportamiento distinto a la del sector privado.</w:t>
      </w:r>
    </w:p>
    <w:p w14:paraId="67219239" w14:textId="77777777"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b. Valuación de estrategias</w:t>
      </w:r>
      <w:r w:rsidRPr="0052472F">
        <w:rPr>
          <w:rFonts w:eastAsia="Calibri" w:cs="Times New Roman"/>
          <w:bCs/>
          <w:sz w:val="22"/>
          <w:szCs w:val="22"/>
        </w:rPr>
        <w:t xml:space="preserve"> para recuperación de adeudos de contribuyentes del sector privado.</w:t>
      </w:r>
    </w:p>
    <w:p w14:paraId="0DF390B7" w14:textId="77777777"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c. Valuación de estrategias de incorporación al padrón</w:t>
      </w:r>
      <w:r w:rsidRPr="0052472F">
        <w:rPr>
          <w:rFonts w:eastAsia="Calibri" w:cs="Times New Roman"/>
          <w:bCs/>
          <w:sz w:val="22"/>
          <w:szCs w:val="22"/>
        </w:rPr>
        <w:t>.</w:t>
      </w:r>
    </w:p>
    <w:p w14:paraId="5403878F" w14:textId="77777777"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d. Ponderación del indicador de la actividad económica estatal</w:t>
      </w:r>
      <w:r w:rsidRPr="0052472F">
        <w:rPr>
          <w:rFonts w:eastAsia="Calibri" w:cs="Times New Roman"/>
          <w:bCs/>
          <w:sz w:val="22"/>
          <w:szCs w:val="22"/>
        </w:rPr>
        <w:t>, en la perspectiva de la creación de empresas y puestos de trabajo en Michoacán y que determinen la incorporación al padrón estatal.</w:t>
      </w:r>
      <w:bookmarkEnd w:id="2"/>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p>
    <w:p w14:paraId="267452F1" w14:textId="77777777" w:rsidR="00BD4F6A" w:rsidRPr="0052472F" w:rsidRDefault="00BD4F6A" w:rsidP="00BD4F6A">
      <w:pPr>
        <w:spacing w:before="0" w:after="0"/>
        <w:rPr>
          <w:rFonts w:eastAsia="Calibri" w:cs="Times New Roman"/>
          <w:bCs/>
          <w:sz w:val="22"/>
          <w:szCs w:val="22"/>
        </w:rPr>
      </w:pP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p>
    <w:p w14:paraId="579EA0CB" w14:textId="4B25CB77" w:rsidR="00BD4F6A" w:rsidRDefault="00BD4F6A" w:rsidP="00BD4F6A">
      <w:pPr>
        <w:spacing w:before="0" w:after="0"/>
        <w:rPr>
          <w:rFonts w:eastAsia="Calibri" w:cs="Times New Roman"/>
          <w:bCs/>
          <w:sz w:val="22"/>
          <w:szCs w:val="22"/>
        </w:rPr>
      </w:pPr>
      <w:r w:rsidRPr="0052472F">
        <w:rPr>
          <w:rFonts w:eastAsia="Calibri" w:cs="Times New Roman"/>
          <w:bCs/>
          <w:sz w:val="22"/>
          <w:szCs w:val="22"/>
        </w:rPr>
        <w:t>La proyección de Derechos se realizó con base al número de trámites anuales, multiplicados por la tarifa correspondiente proyectada, considerando la inflación contenida en el marco macroeconómico 2022-2028 (Anexo III de los Criterios Generales de Política Económica 202</w:t>
      </w:r>
      <w:r w:rsidR="002B64CF">
        <w:rPr>
          <w:rFonts w:eastAsia="Calibri" w:cs="Times New Roman"/>
          <w:bCs/>
          <w:sz w:val="22"/>
          <w:szCs w:val="22"/>
        </w:rPr>
        <w:t>2</w:t>
      </w:r>
      <w:r w:rsidRPr="0052472F">
        <w:rPr>
          <w:rFonts w:eastAsia="Calibri" w:cs="Times New Roman"/>
          <w:bCs/>
          <w:sz w:val="22"/>
          <w:szCs w:val="22"/>
        </w:rPr>
        <w:t>).</w:t>
      </w:r>
      <w:r w:rsidRPr="0052472F">
        <w:t xml:space="preserve"> </w:t>
      </w:r>
      <w:r w:rsidRPr="0052472F">
        <w:rPr>
          <w:rFonts w:eastAsia="Calibri" w:cs="Times New Roman"/>
          <w:bCs/>
          <w:sz w:val="22"/>
          <w:szCs w:val="22"/>
        </w:rPr>
        <w:t>La proyección de Productos, Aprovechamientos e Ingresos por Venta de Bienes se realiza con base en la tasa de crecimiento anual observada desde el ejercicio 2016-2022 y una estimación de esfuerzo recaudatorio promedio de 10% anual</w:t>
      </w:r>
    </w:p>
    <w:p w14:paraId="7B8B8341" w14:textId="77777777" w:rsidR="00BD4F6A" w:rsidRDefault="00BD4F6A" w:rsidP="00BD4F6A">
      <w:pPr>
        <w:spacing w:before="0" w:after="0"/>
        <w:rPr>
          <w:rFonts w:eastAsia="Calibri" w:cs="Times New Roman"/>
          <w:bCs/>
          <w:sz w:val="22"/>
          <w:szCs w:val="22"/>
        </w:rPr>
      </w:pPr>
    </w:p>
    <w:p w14:paraId="323749F4" w14:textId="77777777" w:rsidR="00BD4F6A" w:rsidRDefault="00BD4F6A" w:rsidP="00BD4F6A">
      <w:pPr>
        <w:spacing w:before="0" w:after="0"/>
        <w:rPr>
          <w:rFonts w:eastAsia="Calibri" w:cs="Times New Roman"/>
          <w:bCs/>
          <w:sz w:val="22"/>
          <w:szCs w:val="22"/>
        </w:rPr>
      </w:pPr>
      <w:r w:rsidRPr="0052472F">
        <w:rPr>
          <w:rFonts w:eastAsia="Calibri" w:cs="Times New Roman"/>
          <w:bCs/>
          <w:sz w:val="22"/>
          <w:szCs w:val="22"/>
        </w:rPr>
        <w:t>Los ingresos propios observan un crecimiento promedio anual de 10% en el período, atendiendo a la meta establecida por el Plan Integral de Desarrollo del Estado de Michoacán 2021-2027</w:t>
      </w:r>
      <w:r>
        <w:rPr>
          <w:rFonts w:eastAsia="Calibri" w:cs="Times New Roman"/>
          <w:bCs/>
          <w:sz w:val="22"/>
          <w:szCs w:val="22"/>
        </w:rPr>
        <w:t>.</w:t>
      </w:r>
    </w:p>
    <w:p w14:paraId="0E1CDA81" w14:textId="77777777" w:rsidR="00BD4F6A" w:rsidRDefault="00BD4F6A" w:rsidP="00BD4F6A">
      <w:pPr>
        <w:spacing w:before="0" w:after="0"/>
        <w:rPr>
          <w:rFonts w:eastAsia="Calibri" w:cs="Times New Roman"/>
          <w:bCs/>
          <w:sz w:val="22"/>
          <w:szCs w:val="22"/>
        </w:rPr>
      </w:pPr>
      <w:r w:rsidRPr="0052472F">
        <w:rPr>
          <w:rFonts w:eastAsia="Calibri" w:cs="Times New Roman"/>
          <w:bCs/>
          <w:sz w:val="22"/>
          <w:szCs w:val="22"/>
        </w:rPr>
        <w:lastRenderedPageBreak/>
        <w:t>La estimación de Participaciones toma como base la información de los Requerimientos Financieros del Sector Público 2022-2028 de los Criterios Generales de Política Económica 2023, en donde se establece un escenario en el que, dentro del Gasto no Programable, las Participaciones representan el 3.9% del Producto Interno Bruto. A partir de la distribución histórica por entidad de estos recursos, se identificó la proyección 2024-2028 para Michoacán.</w:t>
      </w:r>
    </w:p>
    <w:p w14:paraId="03F73792" w14:textId="77777777" w:rsidR="00BD4F6A" w:rsidRDefault="00BD4F6A" w:rsidP="00BD4F6A">
      <w:pPr>
        <w:spacing w:before="0" w:after="0"/>
        <w:rPr>
          <w:rFonts w:eastAsia="Calibri" w:cs="Times New Roman"/>
          <w:bCs/>
          <w:sz w:val="22"/>
          <w:szCs w:val="22"/>
        </w:rPr>
      </w:pPr>
    </w:p>
    <w:p w14:paraId="3E1B9210" w14:textId="77777777" w:rsidR="00BD4F6A" w:rsidRDefault="00BD4F6A" w:rsidP="00BD4F6A">
      <w:pPr>
        <w:spacing w:before="0" w:after="0"/>
        <w:rPr>
          <w:rFonts w:eastAsia="Calibri" w:cs="Times New Roman"/>
          <w:bCs/>
          <w:sz w:val="22"/>
          <w:szCs w:val="22"/>
        </w:rPr>
      </w:pPr>
      <w:r w:rsidRPr="0052472F">
        <w:rPr>
          <w:rFonts w:eastAsia="Calibri" w:cs="Times New Roman"/>
          <w:bCs/>
          <w:sz w:val="22"/>
          <w:szCs w:val="22"/>
        </w:rPr>
        <w:t>La estimación de Aportaciones, Convenios e Incentivos derivados de la Colaboración Fiscal se realizó con base en la tasa de crecimiento anual observada en el período 2016-2022</w:t>
      </w:r>
    </w:p>
    <w:p w14:paraId="42BF483A" w14:textId="77777777" w:rsidR="00BD4F6A" w:rsidRDefault="00BD4F6A" w:rsidP="00BD4F6A">
      <w:pPr>
        <w:spacing w:before="0" w:after="0"/>
        <w:rPr>
          <w:rFonts w:eastAsia="Calibri" w:cs="Times New Roman"/>
          <w:b/>
          <w:sz w:val="22"/>
          <w:szCs w:val="22"/>
        </w:rPr>
      </w:pP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p>
    <w:p w14:paraId="3F42BFCC" w14:textId="70F20085" w:rsidR="00BD4F6A" w:rsidRDefault="00BD4F6A" w:rsidP="00BD4F6A">
      <w:pPr>
        <w:spacing w:before="0" w:after="0"/>
        <w:rPr>
          <w:rFonts w:eastAsia="Calibri" w:cs="Times New Roman"/>
          <w:b/>
          <w:sz w:val="22"/>
          <w:szCs w:val="22"/>
        </w:rPr>
      </w:pPr>
      <w:r>
        <w:rPr>
          <w:rFonts w:eastAsia="Calibri" w:cs="Times New Roman"/>
          <w:b/>
          <w:sz w:val="22"/>
          <w:szCs w:val="22"/>
        </w:rPr>
        <w:t>1</w:t>
      </w:r>
      <w:r w:rsidR="00702E64">
        <w:rPr>
          <w:rFonts w:eastAsia="Calibri" w:cs="Times New Roman"/>
          <w:b/>
          <w:sz w:val="22"/>
          <w:szCs w:val="22"/>
        </w:rPr>
        <w:t>0</w:t>
      </w:r>
      <w:r>
        <w:rPr>
          <w:rFonts w:eastAsia="Calibri" w:cs="Times New Roman"/>
          <w:b/>
          <w:sz w:val="22"/>
          <w:szCs w:val="22"/>
        </w:rPr>
        <w:t>. Información sobre la Deuda y el Reporte analítico de la deuda.</w:t>
      </w:r>
    </w:p>
    <w:p w14:paraId="7EC4D012" w14:textId="77777777" w:rsidR="00BD4F6A" w:rsidRDefault="00BD4F6A" w:rsidP="00BD4F6A">
      <w:pPr>
        <w:spacing w:before="0" w:after="0"/>
        <w:rPr>
          <w:rFonts w:eastAsia="Calibri" w:cs="Times New Roman"/>
          <w:b/>
          <w:sz w:val="22"/>
          <w:szCs w:val="22"/>
        </w:rPr>
      </w:pPr>
    </w:p>
    <w:p w14:paraId="5F6F3002" w14:textId="77777777" w:rsidR="00BD4F6A" w:rsidRDefault="00BD4F6A" w:rsidP="00BD4F6A">
      <w:pPr>
        <w:spacing w:before="0" w:after="0"/>
        <w:rPr>
          <w:rFonts w:eastAsia="Calibri" w:cs="Times New Roman"/>
          <w:b/>
          <w:sz w:val="22"/>
          <w:szCs w:val="22"/>
        </w:rPr>
      </w:pPr>
      <w:r>
        <w:rPr>
          <w:rFonts w:eastAsia="Calibri" w:cs="Times New Roman"/>
          <w:b/>
          <w:sz w:val="22"/>
          <w:szCs w:val="22"/>
        </w:rPr>
        <w:t>a) Utilizar al menos los siguientes indicadores: deuda respecto al PIB y Deuda respecto a la recaudación tomando, como mínimo, un periodo igual o menor de 5 años.</w:t>
      </w:r>
    </w:p>
    <w:p w14:paraId="78CF92B9" w14:textId="77777777" w:rsidR="00312609" w:rsidRDefault="00312609" w:rsidP="00BD4F6A">
      <w:pPr>
        <w:spacing w:before="0" w:after="0"/>
        <w:rPr>
          <w:rFonts w:eastAsia="Calibri" w:cs="Times New Roman"/>
          <w:bCs/>
          <w:sz w:val="22"/>
          <w:szCs w:val="22"/>
        </w:rPr>
      </w:pPr>
    </w:p>
    <w:p w14:paraId="3977B142" w14:textId="463EF87C" w:rsidR="00BD4F6A" w:rsidRPr="00D71AA9" w:rsidRDefault="00BD4F6A" w:rsidP="00BD4F6A">
      <w:pPr>
        <w:spacing w:before="0" w:after="0"/>
        <w:rPr>
          <w:rFonts w:eastAsia="Calibri" w:cs="Times New Roman"/>
          <w:bCs/>
          <w:sz w:val="22"/>
          <w:szCs w:val="22"/>
        </w:rPr>
      </w:pPr>
      <w:r>
        <w:rPr>
          <w:rFonts w:eastAsia="Calibri" w:cs="Times New Roman"/>
          <w:bCs/>
          <w:sz w:val="22"/>
          <w:szCs w:val="22"/>
        </w:rPr>
        <w:t>La deuda pública del Estado de Michoacán, al 3</w:t>
      </w:r>
      <w:r w:rsidR="00806629">
        <w:rPr>
          <w:rFonts w:eastAsia="Calibri" w:cs="Times New Roman"/>
          <w:bCs/>
          <w:sz w:val="22"/>
          <w:szCs w:val="22"/>
        </w:rPr>
        <w:t>1</w:t>
      </w:r>
      <w:r>
        <w:rPr>
          <w:rFonts w:eastAsia="Calibri" w:cs="Times New Roman"/>
          <w:bCs/>
          <w:sz w:val="22"/>
          <w:szCs w:val="22"/>
        </w:rPr>
        <w:t xml:space="preserve"> de </w:t>
      </w:r>
      <w:r w:rsidR="00806629">
        <w:rPr>
          <w:rFonts w:eastAsia="Calibri" w:cs="Times New Roman"/>
          <w:bCs/>
          <w:sz w:val="22"/>
          <w:szCs w:val="22"/>
        </w:rPr>
        <w:t>diciembre</w:t>
      </w:r>
      <w:r>
        <w:rPr>
          <w:rFonts w:eastAsia="Calibri" w:cs="Times New Roman"/>
          <w:bCs/>
          <w:sz w:val="22"/>
          <w:szCs w:val="22"/>
        </w:rPr>
        <w:t xml:space="preserve"> de 2022 representa un </w:t>
      </w:r>
      <w:r w:rsidR="00806629">
        <w:rPr>
          <w:rFonts w:eastAsia="Calibri" w:cs="Times New Roman"/>
          <w:bCs/>
          <w:sz w:val="22"/>
          <w:szCs w:val="22"/>
        </w:rPr>
        <w:t>3.01</w:t>
      </w:r>
      <w:r>
        <w:rPr>
          <w:rFonts w:eastAsia="Calibri" w:cs="Times New Roman"/>
          <w:bCs/>
          <w:sz w:val="22"/>
          <w:szCs w:val="22"/>
        </w:rPr>
        <w:t>% del total de PIB estimado para esta entidad federativa, lo que demuestra una disminución gradual que se ha venido observando desde el ejercicio fiscal 2016, como se muestra en las gráficas siguientes:</w:t>
      </w:r>
    </w:p>
    <w:p w14:paraId="3FD81083" w14:textId="77777777" w:rsidR="00BD4F6A" w:rsidRDefault="00BD4F6A" w:rsidP="00BD4F6A">
      <w:pPr>
        <w:spacing w:before="0" w:after="0"/>
        <w:rPr>
          <w:rFonts w:eastAsia="Calibri" w:cs="Times New Roman"/>
          <w:b/>
          <w:sz w:val="22"/>
          <w:szCs w:val="22"/>
        </w:rPr>
      </w:pPr>
      <w:bookmarkStart w:id="3" w:name="_Hlk133586266"/>
    </w:p>
    <w:p w14:paraId="5EFE3BC4" w14:textId="1B733C36" w:rsidR="00BD4F6A" w:rsidRDefault="00BD4F6A" w:rsidP="00F55C30">
      <w:pPr>
        <w:tabs>
          <w:tab w:val="left" w:pos="2835"/>
        </w:tabs>
        <w:spacing w:before="0" w:after="0"/>
        <w:rPr>
          <w:rFonts w:eastAsia="Calibri" w:cs="Times New Roman"/>
          <w:b/>
          <w:sz w:val="22"/>
          <w:szCs w:val="22"/>
        </w:rPr>
      </w:pPr>
      <w:r>
        <w:rPr>
          <w:rFonts w:eastAsia="Calibri" w:cs="Times New Roman"/>
          <w:b/>
          <w:sz w:val="22"/>
          <w:szCs w:val="22"/>
        </w:rPr>
        <w:lastRenderedPageBreak/>
        <w:t xml:space="preserve"> </w:t>
      </w:r>
      <w:r w:rsidR="00806629" w:rsidRPr="00806629">
        <w:rPr>
          <w:noProof/>
        </w:rPr>
        <w:drawing>
          <wp:inline distT="0" distB="0" distL="0" distR="0" wp14:anchorId="5532054E" wp14:editId="79EEAED8">
            <wp:extent cx="6351270" cy="20288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1270" cy="2028825"/>
                    </a:xfrm>
                    <a:prstGeom prst="rect">
                      <a:avLst/>
                    </a:prstGeom>
                    <a:noFill/>
                    <a:ln>
                      <a:noFill/>
                    </a:ln>
                  </pic:spPr>
                </pic:pic>
              </a:graphicData>
            </a:graphic>
          </wp:inline>
        </w:drawing>
      </w:r>
    </w:p>
    <w:p w14:paraId="5A47C7A9" w14:textId="7ADA05E6" w:rsidR="00BD4F6A" w:rsidRDefault="00806629" w:rsidP="00BD4F6A">
      <w:pPr>
        <w:spacing w:before="0" w:after="0"/>
        <w:rPr>
          <w:rFonts w:eastAsia="Calibri" w:cs="Times New Roman"/>
          <w:b/>
          <w:sz w:val="22"/>
          <w:szCs w:val="22"/>
        </w:rPr>
      </w:pPr>
      <w:r>
        <w:rPr>
          <w:noProof/>
        </w:rPr>
        <w:drawing>
          <wp:inline distT="0" distB="0" distL="0" distR="0" wp14:anchorId="19214ED4" wp14:editId="0A62AF20">
            <wp:extent cx="6351270" cy="3650615"/>
            <wp:effectExtent l="0" t="0" r="0" b="6985"/>
            <wp:docPr id="13"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351270" cy="3650615"/>
                    </a:xfrm>
                    <a:prstGeom prst="rect">
                      <a:avLst/>
                    </a:prstGeom>
                  </pic:spPr>
                </pic:pic>
              </a:graphicData>
            </a:graphic>
          </wp:inline>
        </w:drawing>
      </w:r>
    </w:p>
    <w:p w14:paraId="0EC38919" w14:textId="36EA819A" w:rsidR="00BD4F6A" w:rsidRDefault="00BD4F6A" w:rsidP="00BD4F6A">
      <w:pPr>
        <w:spacing w:before="0" w:after="0"/>
        <w:rPr>
          <w:rFonts w:eastAsia="Calibri" w:cs="Times New Roman"/>
          <w:bCs/>
          <w:sz w:val="22"/>
          <w:szCs w:val="22"/>
        </w:rPr>
      </w:pPr>
      <w:r>
        <w:rPr>
          <w:rFonts w:eastAsia="Calibri" w:cs="Times New Roman"/>
          <w:bCs/>
          <w:sz w:val="22"/>
          <w:szCs w:val="22"/>
        </w:rPr>
        <w:t xml:space="preserve">En el mismo sentido, el saldo de la Deuda pública, ya mencionado, respecto a la recaudación de ingresos de libre disposición, representa un </w:t>
      </w:r>
      <w:r w:rsidR="00806629">
        <w:rPr>
          <w:rFonts w:eastAsia="Calibri" w:cs="Times New Roman"/>
          <w:bCs/>
          <w:sz w:val="22"/>
          <w:szCs w:val="22"/>
        </w:rPr>
        <w:t>48.13</w:t>
      </w:r>
      <w:r>
        <w:rPr>
          <w:rFonts w:eastAsia="Calibri" w:cs="Times New Roman"/>
          <w:bCs/>
          <w:sz w:val="22"/>
          <w:szCs w:val="22"/>
        </w:rPr>
        <w:t>%, el cual se encuentra dentro de los parámetros establecidos por la Ley de Disciplina Financiera.</w:t>
      </w:r>
    </w:p>
    <w:p w14:paraId="7E6F2A5E" w14:textId="77777777" w:rsidR="00BD4F6A" w:rsidRDefault="00BD4F6A" w:rsidP="00BD4F6A">
      <w:pPr>
        <w:spacing w:before="0" w:after="0"/>
        <w:rPr>
          <w:rFonts w:eastAsia="Calibri" w:cs="Times New Roman"/>
          <w:bCs/>
          <w:sz w:val="22"/>
          <w:szCs w:val="22"/>
        </w:rPr>
      </w:pPr>
    </w:p>
    <w:p w14:paraId="09B95163" w14:textId="77777777" w:rsidR="00BD4F6A" w:rsidRPr="00D71AA9" w:rsidRDefault="00BD4F6A" w:rsidP="00BD4F6A">
      <w:pPr>
        <w:spacing w:before="0" w:after="0"/>
        <w:rPr>
          <w:rFonts w:eastAsia="Calibri" w:cs="Times New Roman"/>
          <w:bCs/>
          <w:sz w:val="22"/>
          <w:szCs w:val="22"/>
        </w:rPr>
      </w:pPr>
      <w:r>
        <w:rPr>
          <w:rFonts w:eastAsia="Calibri" w:cs="Times New Roman"/>
          <w:bCs/>
          <w:sz w:val="22"/>
          <w:szCs w:val="22"/>
        </w:rPr>
        <w:t>Es de destacar que también en este indicador, podemos observar una tendencia a la baja, desde el ejercicio fiscal 2016, como se muestra en las gráficas siguientes:</w:t>
      </w:r>
    </w:p>
    <w:p w14:paraId="2573F28C" w14:textId="77777777" w:rsidR="00BD4F6A" w:rsidRDefault="00BD4F6A" w:rsidP="00BD4F6A">
      <w:pPr>
        <w:spacing w:before="0" w:after="0"/>
        <w:rPr>
          <w:rFonts w:eastAsia="Calibri" w:cs="Times New Roman"/>
          <w:b/>
          <w:sz w:val="22"/>
          <w:szCs w:val="22"/>
        </w:rPr>
      </w:pPr>
    </w:p>
    <w:p w14:paraId="6C2CA572" w14:textId="4E3DD641" w:rsidR="00BD4F6A" w:rsidRDefault="00806629" w:rsidP="00BD4F6A">
      <w:pPr>
        <w:spacing w:before="0" w:after="0"/>
        <w:rPr>
          <w:rFonts w:eastAsia="Calibri" w:cs="Times New Roman"/>
          <w:b/>
          <w:sz w:val="22"/>
          <w:szCs w:val="22"/>
        </w:rPr>
      </w:pPr>
      <w:r w:rsidRPr="00806629">
        <w:rPr>
          <w:noProof/>
        </w:rPr>
        <w:drawing>
          <wp:inline distT="0" distB="0" distL="0" distR="0" wp14:anchorId="2C2B6D49" wp14:editId="12F44EC1">
            <wp:extent cx="6351270" cy="2101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1270" cy="2101850"/>
                    </a:xfrm>
                    <a:prstGeom prst="rect">
                      <a:avLst/>
                    </a:prstGeom>
                    <a:noFill/>
                    <a:ln>
                      <a:noFill/>
                    </a:ln>
                  </pic:spPr>
                </pic:pic>
              </a:graphicData>
            </a:graphic>
          </wp:inline>
        </w:drawing>
      </w:r>
    </w:p>
    <w:p w14:paraId="07D3F649" w14:textId="7FD0FBC7" w:rsidR="00BD4F6A" w:rsidRPr="003628D8" w:rsidRDefault="00806629" w:rsidP="00BD4F6A">
      <w:pPr>
        <w:spacing w:before="0" w:after="0"/>
        <w:jc w:val="center"/>
        <w:rPr>
          <w:rFonts w:eastAsia="Calibri" w:cs="Times New Roman"/>
          <w:b/>
          <w:sz w:val="22"/>
          <w:szCs w:val="22"/>
        </w:rPr>
      </w:pPr>
      <w:r>
        <w:rPr>
          <w:noProof/>
        </w:rPr>
        <w:drawing>
          <wp:inline distT="0" distB="0" distL="0" distR="0" wp14:anchorId="0F5809E4" wp14:editId="242AD6AD">
            <wp:extent cx="6351270" cy="3967480"/>
            <wp:effectExtent l="0" t="0" r="0" b="0"/>
            <wp:docPr id="29"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351270" cy="3967480"/>
                    </a:xfrm>
                    <a:prstGeom prst="rect">
                      <a:avLst/>
                    </a:prstGeom>
                  </pic:spPr>
                </pic:pic>
              </a:graphicData>
            </a:graphic>
          </wp:inline>
        </w:drawing>
      </w:r>
    </w:p>
    <w:p w14:paraId="699C0956" w14:textId="5D7AB20E" w:rsidR="00BD4F6A" w:rsidRDefault="00BD4F6A" w:rsidP="00BD4F6A">
      <w:pPr>
        <w:spacing w:before="0" w:after="0"/>
        <w:rPr>
          <w:rFonts w:eastAsia="Calibri" w:cs="Times New Roman"/>
          <w:b/>
          <w:sz w:val="22"/>
          <w:szCs w:val="22"/>
        </w:rPr>
      </w:pPr>
    </w:p>
    <w:bookmarkEnd w:id="3"/>
    <w:p w14:paraId="568624F5" w14:textId="77777777" w:rsidR="0077166D" w:rsidRDefault="0077166D" w:rsidP="00BD4F6A">
      <w:pPr>
        <w:spacing w:before="0" w:after="0"/>
        <w:rPr>
          <w:rFonts w:eastAsia="Calibri" w:cs="Times New Roman"/>
          <w:b/>
          <w:sz w:val="22"/>
          <w:szCs w:val="22"/>
        </w:rPr>
      </w:pPr>
    </w:p>
    <w:p w14:paraId="2EDE9CD4" w14:textId="77777777" w:rsidR="0077166D" w:rsidRDefault="0077166D" w:rsidP="00BD4F6A">
      <w:pPr>
        <w:spacing w:before="0" w:after="0"/>
        <w:rPr>
          <w:rFonts w:eastAsia="Calibri" w:cs="Times New Roman"/>
          <w:b/>
          <w:sz w:val="22"/>
          <w:szCs w:val="22"/>
        </w:rPr>
      </w:pPr>
    </w:p>
    <w:p w14:paraId="1FFA3134" w14:textId="77777777" w:rsidR="0077166D" w:rsidRDefault="0077166D" w:rsidP="00BD4F6A">
      <w:pPr>
        <w:spacing w:before="0" w:after="0"/>
        <w:rPr>
          <w:rFonts w:eastAsia="Calibri" w:cs="Times New Roman"/>
          <w:b/>
          <w:sz w:val="22"/>
          <w:szCs w:val="22"/>
        </w:rPr>
      </w:pPr>
    </w:p>
    <w:p w14:paraId="221F18A3" w14:textId="2D333161" w:rsidR="00BD4F6A" w:rsidRDefault="00BD4F6A" w:rsidP="00BD4F6A">
      <w:pPr>
        <w:spacing w:before="0" w:after="0"/>
        <w:rPr>
          <w:rFonts w:eastAsia="Calibri" w:cs="Times New Roman"/>
          <w:b/>
          <w:sz w:val="22"/>
          <w:szCs w:val="22"/>
        </w:rPr>
      </w:pPr>
      <w:r>
        <w:rPr>
          <w:rFonts w:eastAsia="Calibri" w:cs="Times New Roman"/>
          <w:b/>
          <w:sz w:val="22"/>
          <w:szCs w:val="22"/>
        </w:rPr>
        <w:lastRenderedPageBreak/>
        <w:t>1</w:t>
      </w:r>
      <w:r w:rsidR="00C85D46">
        <w:rPr>
          <w:rFonts w:eastAsia="Calibri" w:cs="Times New Roman"/>
          <w:b/>
          <w:sz w:val="22"/>
          <w:szCs w:val="22"/>
        </w:rPr>
        <w:t>1</w:t>
      </w:r>
      <w:r>
        <w:rPr>
          <w:rFonts w:eastAsia="Calibri" w:cs="Times New Roman"/>
          <w:b/>
          <w:sz w:val="22"/>
          <w:szCs w:val="22"/>
        </w:rPr>
        <w:t>. Calificaciones otorgadas</w:t>
      </w:r>
    </w:p>
    <w:p w14:paraId="1E00EA60" w14:textId="50C5F1C6" w:rsidR="00BD4F6A" w:rsidRPr="00D16045" w:rsidRDefault="00D16045" w:rsidP="00BD4F6A">
      <w:pPr>
        <w:spacing w:before="0" w:after="0"/>
        <w:rPr>
          <w:rFonts w:eastAsia="Calibri" w:cs="Times New Roman"/>
          <w:b/>
          <w:sz w:val="22"/>
          <w:szCs w:val="22"/>
        </w:rPr>
      </w:pPr>
      <w:r w:rsidRPr="00533B4A">
        <w:rPr>
          <w:rFonts w:eastAsia="Calibri" w:cs="Times New Roman"/>
          <w:b/>
          <w:sz w:val="22"/>
          <w:szCs w:val="22"/>
        </w:rPr>
        <w:t>FITCH RATINGS</w:t>
      </w:r>
      <w:r w:rsidR="00BD4F6A" w:rsidRPr="00D16045">
        <w:rPr>
          <w:rFonts w:eastAsia="Calibri" w:cs="Times New Roman"/>
          <w:b/>
          <w:sz w:val="22"/>
          <w:szCs w:val="22"/>
        </w:rPr>
        <w:t>.</w:t>
      </w:r>
    </w:p>
    <w:p w14:paraId="242C3174" w14:textId="1BDE69FF" w:rsidR="00BD4F6A" w:rsidRDefault="00D16045" w:rsidP="00BD4F6A">
      <w:pPr>
        <w:spacing w:before="0" w:after="0"/>
        <w:rPr>
          <w:rFonts w:eastAsia="Calibri" w:cs="Times New Roman"/>
          <w:bCs/>
          <w:sz w:val="22"/>
          <w:szCs w:val="22"/>
        </w:rPr>
      </w:pPr>
      <w:r>
        <w:rPr>
          <w:rFonts w:eastAsia="Calibri" w:cs="Times New Roman"/>
          <w:bCs/>
          <w:sz w:val="22"/>
          <w:szCs w:val="22"/>
        </w:rPr>
        <w:t>La calificadora Fitch Ratings, mediante un análisis de los resultados presentados por el Gobierno del Estado de Michoacán, en los ejercicios del 2017 al 2021 y las proyecciones del 2022 al 2026, otorgó una calificación de BBB+(</w:t>
      </w:r>
      <w:proofErr w:type="spellStart"/>
      <w:r>
        <w:rPr>
          <w:rFonts w:eastAsia="Calibri" w:cs="Times New Roman"/>
          <w:bCs/>
          <w:sz w:val="22"/>
          <w:szCs w:val="22"/>
        </w:rPr>
        <w:t>mex</w:t>
      </w:r>
      <w:proofErr w:type="spellEnd"/>
      <w:r>
        <w:rPr>
          <w:rFonts w:eastAsia="Calibri" w:cs="Times New Roman"/>
          <w:bCs/>
          <w:sz w:val="22"/>
          <w:szCs w:val="22"/>
        </w:rPr>
        <w:t>), con una perspectiva estable, por un perfil de riesgo débil de disminuir la capacidad del pago de la deuda</w:t>
      </w:r>
      <w:proofErr w:type="gramStart"/>
      <w:r>
        <w:rPr>
          <w:rFonts w:eastAsia="Calibri" w:cs="Times New Roman"/>
          <w:bCs/>
          <w:sz w:val="22"/>
          <w:szCs w:val="22"/>
        </w:rPr>
        <w:t>, ,</w:t>
      </w:r>
      <w:proofErr w:type="gramEnd"/>
      <w:r>
        <w:rPr>
          <w:rFonts w:eastAsia="Calibri" w:cs="Times New Roman"/>
          <w:bCs/>
          <w:sz w:val="22"/>
          <w:szCs w:val="22"/>
        </w:rPr>
        <w:t xml:space="preserve"> en caso de que el balance operativo se debilite.</w:t>
      </w:r>
    </w:p>
    <w:p w14:paraId="3E952B96" w14:textId="7BB5EC0F" w:rsidR="00D16045" w:rsidRDefault="00D16045" w:rsidP="00BD4F6A">
      <w:pPr>
        <w:spacing w:before="0" w:after="0"/>
        <w:rPr>
          <w:rFonts w:eastAsia="Calibri" w:cs="Times New Roman"/>
          <w:bCs/>
          <w:sz w:val="22"/>
          <w:szCs w:val="22"/>
        </w:rPr>
      </w:pPr>
    </w:p>
    <w:p w14:paraId="0D2E0219" w14:textId="1732A78E" w:rsidR="00D16045" w:rsidRDefault="00D16045" w:rsidP="00BD4F6A">
      <w:pPr>
        <w:spacing w:before="0" w:after="0"/>
        <w:rPr>
          <w:rFonts w:eastAsia="Calibri" w:cs="Times New Roman"/>
          <w:bCs/>
          <w:sz w:val="22"/>
          <w:szCs w:val="22"/>
        </w:rPr>
      </w:pPr>
      <w:r>
        <w:rPr>
          <w:rFonts w:eastAsia="Calibri" w:cs="Times New Roman"/>
          <w:bCs/>
          <w:sz w:val="22"/>
          <w:szCs w:val="22"/>
        </w:rPr>
        <w:t xml:space="preserve">Así mismo, en materia de ingresos, establece una solidez de rango </w:t>
      </w:r>
      <w:r w:rsidR="00933739">
        <w:rPr>
          <w:rFonts w:eastAsia="Calibri" w:cs="Times New Roman"/>
          <w:bCs/>
          <w:sz w:val="22"/>
          <w:szCs w:val="22"/>
        </w:rPr>
        <w:t>medio,</w:t>
      </w:r>
      <w:r>
        <w:rPr>
          <w:rFonts w:eastAsia="Calibri" w:cs="Times New Roman"/>
          <w:bCs/>
          <w:sz w:val="22"/>
          <w:szCs w:val="22"/>
        </w:rPr>
        <w:t xml:space="preserve"> aunque una adaptabilidad más débil, esto debido a que el 93.9% de sus ingresos han correspondido a la recaudación de recursos provenientes de la federación.</w:t>
      </w:r>
    </w:p>
    <w:p w14:paraId="371B5DC1" w14:textId="2FE8781A" w:rsidR="00D16045" w:rsidRDefault="00D16045" w:rsidP="00BD4F6A">
      <w:pPr>
        <w:spacing w:before="0" w:after="0"/>
        <w:rPr>
          <w:rFonts w:eastAsia="Calibri" w:cs="Times New Roman"/>
          <w:bCs/>
          <w:sz w:val="22"/>
          <w:szCs w:val="22"/>
        </w:rPr>
      </w:pPr>
    </w:p>
    <w:p w14:paraId="04543FC3" w14:textId="06332CB6" w:rsidR="00D16045" w:rsidRDefault="00D16045" w:rsidP="00BD4F6A">
      <w:pPr>
        <w:spacing w:before="0" w:after="0"/>
        <w:rPr>
          <w:rFonts w:eastAsia="Calibri" w:cs="Times New Roman"/>
          <w:bCs/>
          <w:sz w:val="22"/>
          <w:szCs w:val="22"/>
        </w:rPr>
      </w:pPr>
      <w:r>
        <w:rPr>
          <w:rFonts w:eastAsia="Calibri" w:cs="Times New Roman"/>
          <w:bCs/>
          <w:sz w:val="22"/>
          <w:szCs w:val="22"/>
        </w:rPr>
        <w:t xml:space="preserve">El gasto se mantiene en un nivel de solidez medio y la adaptabilidad es más débil, debido principalmente a gastos moderadamente anticíclicos en los sectores de salud y educación, pero contrarrestados por el Acuerdo de Austeridad y Ordenamiento </w:t>
      </w:r>
      <w:r w:rsidR="00312609">
        <w:rPr>
          <w:rFonts w:eastAsia="Calibri" w:cs="Times New Roman"/>
          <w:bCs/>
          <w:sz w:val="22"/>
          <w:szCs w:val="22"/>
        </w:rPr>
        <w:t>vigente</w:t>
      </w:r>
      <w:r>
        <w:rPr>
          <w:rFonts w:eastAsia="Calibri" w:cs="Times New Roman"/>
          <w:bCs/>
          <w:sz w:val="22"/>
          <w:szCs w:val="22"/>
        </w:rPr>
        <w:t>, adicionalmente a que el nivel de endeudamiento se mantiene dentro de los estándares marcados por la Ley de Disciplina Financiera.</w:t>
      </w:r>
    </w:p>
    <w:p w14:paraId="437A8EAD" w14:textId="4FC05A4A" w:rsidR="00806629" w:rsidRDefault="00806629" w:rsidP="00BD4F6A">
      <w:pPr>
        <w:spacing w:before="0" w:after="0"/>
        <w:rPr>
          <w:rFonts w:eastAsia="Calibri" w:cs="Times New Roman"/>
          <w:bCs/>
          <w:sz w:val="22"/>
          <w:szCs w:val="22"/>
        </w:rPr>
      </w:pPr>
    </w:p>
    <w:p w14:paraId="2154A1C0" w14:textId="44EA0A4C" w:rsidR="00806629" w:rsidRPr="00533B4A" w:rsidRDefault="00806629" w:rsidP="00BD4F6A">
      <w:pPr>
        <w:spacing w:before="0" w:after="0"/>
        <w:rPr>
          <w:rFonts w:eastAsia="Calibri" w:cs="Times New Roman"/>
          <w:b/>
          <w:sz w:val="22"/>
          <w:szCs w:val="22"/>
        </w:rPr>
      </w:pPr>
      <w:r w:rsidRPr="00533B4A">
        <w:rPr>
          <w:rFonts w:eastAsia="Calibri" w:cs="Times New Roman"/>
          <w:b/>
          <w:sz w:val="22"/>
          <w:szCs w:val="22"/>
        </w:rPr>
        <w:t>HR RATINGS</w:t>
      </w:r>
    </w:p>
    <w:p w14:paraId="6199E537" w14:textId="7CBC36C3" w:rsidR="00806629" w:rsidRDefault="00D47963" w:rsidP="00BD4F6A">
      <w:pPr>
        <w:spacing w:before="0" w:after="0"/>
        <w:rPr>
          <w:rFonts w:eastAsia="Calibri" w:cs="Times New Roman"/>
          <w:bCs/>
          <w:sz w:val="22"/>
          <w:szCs w:val="22"/>
        </w:rPr>
      </w:pPr>
      <w:r>
        <w:rPr>
          <w:rFonts w:eastAsia="Calibri" w:cs="Times New Roman"/>
          <w:bCs/>
          <w:sz w:val="22"/>
          <w:szCs w:val="22"/>
        </w:rPr>
        <w:t xml:space="preserve">La calificación de HR Ratings, </w:t>
      </w:r>
      <w:proofErr w:type="spellStart"/>
      <w:r>
        <w:rPr>
          <w:rFonts w:eastAsia="Calibri" w:cs="Times New Roman"/>
          <w:bCs/>
          <w:sz w:val="22"/>
          <w:szCs w:val="22"/>
        </w:rPr>
        <w:t>Credit</w:t>
      </w:r>
      <w:proofErr w:type="spellEnd"/>
      <w:r>
        <w:rPr>
          <w:rFonts w:eastAsia="Calibri" w:cs="Times New Roman"/>
          <w:bCs/>
          <w:sz w:val="22"/>
          <w:szCs w:val="22"/>
        </w:rPr>
        <w:t xml:space="preserve"> Rating Agency en 12 de 15 calificaciones se mantiene en AAA</w:t>
      </w:r>
      <w:r w:rsidR="006257D0">
        <w:rPr>
          <w:rFonts w:eastAsia="Calibri" w:cs="Times New Roman"/>
          <w:bCs/>
          <w:sz w:val="22"/>
          <w:szCs w:val="22"/>
        </w:rPr>
        <w:t xml:space="preserve"> (E)</w:t>
      </w:r>
      <w:r>
        <w:rPr>
          <w:rFonts w:eastAsia="Calibri" w:cs="Times New Roman"/>
          <w:bCs/>
          <w:sz w:val="22"/>
          <w:szCs w:val="22"/>
        </w:rPr>
        <w:t xml:space="preserve"> con perspectiva estable debido a que el crecimiento Nominal fue superior al proyecta</w:t>
      </w:r>
      <w:r w:rsidR="006257D0">
        <w:rPr>
          <w:rFonts w:eastAsia="Calibri" w:cs="Times New Roman"/>
          <w:bCs/>
          <w:sz w:val="22"/>
          <w:szCs w:val="22"/>
        </w:rPr>
        <w:t>d</w:t>
      </w:r>
      <w:r>
        <w:rPr>
          <w:rFonts w:eastAsia="Calibri" w:cs="Times New Roman"/>
          <w:bCs/>
          <w:sz w:val="22"/>
          <w:szCs w:val="22"/>
        </w:rPr>
        <w:t>o y se estima un</w:t>
      </w:r>
      <w:r w:rsidR="006257D0">
        <w:rPr>
          <w:rFonts w:eastAsia="Calibri" w:cs="Times New Roman"/>
          <w:bCs/>
          <w:sz w:val="22"/>
          <w:szCs w:val="22"/>
        </w:rPr>
        <w:t xml:space="preserve"> </w:t>
      </w:r>
      <w:r>
        <w:rPr>
          <w:rFonts w:eastAsia="Calibri" w:cs="Times New Roman"/>
          <w:bCs/>
          <w:sz w:val="22"/>
          <w:szCs w:val="22"/>
        </w:rPr>
        <w:t>escenario base de la fuente de pago en crecimiento hasta 20</w:t>
      </w:r>
      <w:r w:rsidR="006257D0">
        <w:rPr>
          <w:rFonts w:eastAsia="Calibri" w:cs="Times New Roman"/>
          <w:bCs/>
          <w:sz w:val="22"/>
          <w:szCs w:val="22"/>
        </w:rPr>
        <w:t>37.</w:t>
      </w:r>
    </w:p>
    <w:p w14:paraId="3A9ABFDA" w14:textId="77777777" w:rsidR="006257D0" w:rsidRDefault="006257D0" w:rsidP="00BD4F6A">
      <w:pPr>
        <w:spacing w:before="0" w:after="0"/>
        <w:rPr>
          <w:rFonts w:eastAsia="Calibri" w:cs="Times New Roman"/>
          <w:bCs/>
          <w:sz w:val="22"/>
          <w:szCs w:val="22"/>
        </w:rPr>
      </w:pPr>
    </w:p>
    <w:p w14:paraId="2530B292" w14:textId="699C12A9" w:rsidR="00D16045" w:rsidRDefault="006257D0" w:rsidP="00BD4F6A">
      <w:pPr>
        <w:spacing w:before="0" w:after="0"/>
        <w:rPr>
          <w:rFonts w:eastAsia="Calibri" w:cs="Times New Roman"/>
          <w:bCs/>
          <w:sz w:val="22"/>
          <w:szCs w:val="22"/>
        </w:rPr>
      </w:pPr>
      <w:r>
        <w:rPr>
          <w:rFonts w:eastAsia="Calibri" w:cs="Times New Roman"/>
          <w:bCs/>
          <w:sz w:val="22"/>
          <w:szCs w:val="22"/>
        </w:rPr>
        <w:t xml:space="preserve">En dos créditos contratados con BANOBRAS y Banco del Bajío se ratificó la calificación AA+ (E) con perspectiva estable, debido a las coberturas en las tasas de interés y los vencimientos </w:t>
      </w:r>
      <w:r>
        <w:rPr>
          <w:rFonts w:eastAsia="Calibri" w:cs="Times New Roman"/>
          <w:bCs/>
          <w:sz w:val="22"/>
          <w:szCs w:val="22"/>
        </w:rPr>
        <w:lastRenderedPageBreak/>
        <w:t>cruzados que permiten a los bancos vencer anticipadamente los créditos, como cláusula adicional y Plan de Ajuste al tercer trimestre de 2022.</w:t>
      </w:r>
    </w:p>
    <w:p w14:paraId="2384D503" w14:textId="77777777" w:rsidR="008229F6" w:rsidRDefault="008229F6" w:rsidP="00BD4F6A">
      <w:pPr>
        <w:spacing w:before="0" w:after="0"/>
        <w:rPr>
          <w:rFonts w:eastAsia="Calibri" w:cs="Times New Roman"/>
          <w:bCs/>
          <w:sz w:val="22"/>
          <w:szCs w:val="22"/>
        </w:rPr>
      </w:pPr>
    </w:p>
    <w:p w14:paraId="27373D65" w14:textId="07C69DB0" w:rsidR="006257D0" w:rsidRDefault="006257D0" w:rsidP="00BD4F6A">
      <w:pPr>
        <w:spacing w:before="0" w:after="0"/>
        <w:rPr>
          <w:rFonts w:eastAsia="Calibri" w:cs="Times New Roman"/>
          <w:bCs/>
          <w:sz w:val="22"/>
          <w:szCs w:val="22"/>
        </w:rPr>
      </w:pPr>
      <w:r>
        <w:rPr>
          <w:rFonts w:eastAsia="Calibri" w:cs="Times New Roman"/>
          <w:bCs/>
          <w:sz w:val="22"/>
          <w:szCs w:val="22"/>
        </w:rPr>
        <w:t xml:space="preserve">Finalmente, en la evaluación general, modificó la perspectiva de Estable a </w:t>
      </w:r>
      <w:r w:rsidR="008229F6">
        <w:rPr>
          <w:rFonts w:eastAsia="Calibri" w:cs="Times New Roman"/>
          <w:bCs/>
          <w:sz w:val="22"/>
          <w:szCs w:val="22"/>
        </w:rPr>
        <w:t>Positiva</w:t>
      </w:r>
      <w:r>
        <w:rPr>
          <w:rFonts w:eastAsia="Calibri" w:cs="Times New Roman"/>
          <w:bCs/>
          <w:sz w:val="22"/>
          <w:szCs w:val="22"/>
        </w:rPr>
        <w:t xml:space="preserve"> con BBB, en las métricas de endeudamiento de la entidad el 21 de julio de 2022, debido a que al cierre de 2021 </w:t>
      </w:r>
      <w:r w:rsidR="008229F6">
        <w:rPr>
          <w:rFonts w:eastAsia="Calibri" w:cs="Times New Roman"/>
          <w:bCs/>
          <w:sz w:val="22"/>
          <w:szCs w:val="22"/>
        </w:rPr>
        <w:t>la Deuda Neta Ajustada a Ingresos de Libre Disposición ascendió a 73.4%, en contraste con lo esperado por HR de 72.7% y los pasivos circulantes disminuyeron de 24.9% a 20.0%, además que el estado se encuentra en un proceso de federalización de la nómina educativa, lo que se puede reflejar en una menor presión en el gasto corriente.</w:t>
      </w:r>
    </w:p>
    <w:p w14:paraId="0F818648" w14:textId="39EC8B17" w:rsidR="00D16045" w:rsidRDefault="00D16045" w:rsidP="00BD4F6A">
      <w:pPr>
        <w:spacing w:before="0" w:after="0"/>
        <w:rPr>
          <w:rFonts w:eastAsia="Calibri" w:cs="Times New Roman"/>
          <w:bCs/>
          <w:sz w:val="22"/>
          <w:szCs w:val="22"/>
        </w:rPr>
      </w:pPr>
    </w:p>
    <w:p w14:paraId="42A0B145" w14:textId="0B2C91CF" w:rsidR="008229F6" w:rsidRPr="00533B4A" w:rsidRDefault="008229F6" w:rsidP="00BD4F6A">
      <w:pPr>
        <w:spacing w:before="0" w:after="0"/>
        <w:rPr>
          <w:rFonts w:eastAsia="Calibri" w:cs="Times New Roman"/>
          <w:b/>
          <w:sz w:val="22"/>
          <w:szCs w:val="22"/>
        </w:rPr>
      </w:pPr>
      <w:r w:rsidRPr="00533B4A">
        <w:rPr>
          <w:rFonts w:eastAsia="Calibri" w:cs="Times New Roman"/>
          <w:b/>
          <w:sz w:val="22"/>
          <w:szCs w:val="22"/>
        </w:rPr>
        <w:t>STANDARD &amp; POORS RATINGS</w:t>
      </w:r>
    </w:p>
    <w:p w14:paraId="47E26321" w14:textId="5301B3EA" w:rsidR="008229F6" w:rsidRDefault="008229F6" w:rsidP="00BD4F6A">
      <w:pPr>
        <w:spacing w:before="0" w:after="0"/>
        <w:rPr>
          <w:rFonts w:eastAsia="Calibri" w:cs="Times New Roman"/>
          <w:bCs/>
          <w:sz w:val="22"/>
          <w:szCs w:val="22"/>
        </w:rPr>
      </w:pPr>
    </w:p>
    <w:p w14:paraId="03600A6D" w14:textId="42EE75D7" w:rsidR="008229F6" w:rsidRDefault="008229F6" w:rsidP="00BD4F6A">
      <w:pPr>
        <w:spacing w:before="0" w:after="0"/>
        <w:rPr>
          <w:rFonts w:eastAsia="Calibri" w:cs="Times New Roman"/>
          <w:bCs/>
          <w:sz w:val="22"/>
          <w:szCs w:val="22"/>
        </w:rPr>
      </w:pPr>
      <w:r>
        <w:rPr>
          <w:rFonts w:eastAsia="Calibri" w:cs="Times New Roman"/>
          <w:bCs/>
          <w:sz w:val="22"/>
          <w:szCs w:val="22"/>
        </w:rPr>
        <w:t>Esta calificadora otorga al Estado de Michoacán una calificación global BBB- con perspectiva estable, esperando resultados operativos equilibrados, pequeños déficits después de gasto de inversión durante los próximos 3 años, una economía estatal similar a la nacional con baja inversión e inquietudes sobre seguridad, con altas expectativas de una política de contención presupuestaria lo que limitará el crecimiento del gasto y endeudamiento, pero profundizará las necesidades de inversión en servicios e infraestructura, con una liquidez limitada pero suficiente con acceso a créditos a corto plazo.</w:t>
      </w:r>
    </w:p>
    <w:p w14:paraId="653AE2F6" w14:textId="77777777" w:rsidR="008229F6" w:rsidRPr="00A13CDA" w:rsidRDefault="008229F6" w:rsidP="00BD4F6A">
      <w:pPr>
        <w:spacing w:before="0" w:after="0"/>
        <w:rPr>
          <w:rFonts w:eastAsia="Calibri" w:cs="Times New Roman"/>
          <w:bCs/>
          <w:sz w:val="22"/>
          <w:szCs w:val="22"/>
        </w:rPr>
      </w:pPr>
    </w:p>
    <w:p w14:paraId="5FCF44EF" w14:textId="77777777" w:rsidR="0077166D" w:rsidRDefault="0077166D" w:rsidP="00BD4F6A">
      <w:pPr>
        <w:spacing w:before="0" w:after="0"/>
        <w:rPr>
          <w:rFonts w:eastAsia="Calibri" w:cs="Times New Roman"/>
          <w:b/>
          <w:sz w:val="22"/>
          <w:szCs w:val="22"/>
        </w:rPr>
      </w:pPr>
    </w:p>
    <w:p w14:paraId="34DA3990" w14:textId="77777777" w:rsidR="0077166D" w:rsidRDefault="0077166D" w:rsidP="00BD4F6A">
      <w:pPr>
        <w:spacing w:before="0" w:after="0"/>
        <w:rPr>
          <w:rFonts w:eastAsia="Calibri" w:cs="Times New Roman"/>
          <w:b/>
          <w:sz w:val="22"/>
          <w:szCs w:val="22"/>
        </w:rPr>
      </w:pPr>
    </w:p>
    <w:p w14:paraId="32ED3C84" w14:textId="77777777" w:rsidR="0077166D" w:rsidRDefault="0077166D" w:rsidP="00BD4F6A">
      <w:pPr>
        <w:spacing w:before="0" w:after="0"/>
        <w:rPr>
          <w:rFonts w:eastAsia="Calibri" w:cs="Times New Roman"/>
          <w:b/>
          <w:sz w:val="22"/>
          <w:szCs w:val="22"/>
        </w:rPr>
      </w:pPr>
    </w:p>
    <w:p w14:paraId="335957F9" w14:textId="77777777" w:rsidR="0077166D" w:rsidRDefault="0077166D" w:rsidP="00BD4F6A">
      <w:pPr>
        <w:spacing w:before="0" w:after="0"/>
        <w:rPr>
          <w:rFonts w:eastAsia="Calibri" w:cs="Times New Roman"/>
          <w:b/>
          <w:sz w:val="22"/>
          <w:szCs w:val="22"/>
        </w:rPr>
      </w:pPr>
    </w:p>
    <w:p w14:paraId="19C63622" w14:textId="77777777" w:rsidR="0077166D" w:rsidRDefault="0077166D" w:rsidP="00BD4F6A">
      <w:pPr>
        <w:spacing w:before="0" w:after="0"/>
        <w:rPr>
          <w:rFonts w:eastAsia="Calibri" w:cs="Times New Roman"/>
          <w:b/>
          <w:sz w:val="22"/>
          <w:szCs w:val="22"/>
        </w:rPr>
      </w:pPr>
    </w:p>
    <w:p w14:paraId="4E71FB0B" w14:textId="0590A994" w:rsidR="00BD4F6A" w:rsidRDefault="00BD4F6A" w:rsidP="00BD4F6A">
      <w:pPr>
        <w:spacing w:before="0" w:after="0"/>
        <w:rPr>
          <w:rFonts w:eastAsia="Calibri" w:cs="Times New Roman"/>
          <w:b/>
          <w:sz w:val="22"/>
          <w:szCs w:val="22"/>
        </w:rPr>
      </w:pPr>
      <w:r>
        <w:rPr>
          <w:rFonts w:eastAsia="Calibri" w:cs="Times New Roman"/>
          <w:b/>
          <w:sz w:val="22"/>
          <w:szCs w:val="22"/>
        </w:rPr>
        <w:lastRenderedPageBreak/>
        <w:t>1</w:t>
      </w:r>
      <w:r w:rsidR="00C85D46">
        <w:rPr>
          <w:rFonts w:eastAsia="Calibri" w:cs="Times New Roman"/>
          <w:b/>
          <w:sz w:val="22"/>
          <w:szCs w:val="22"/>
        </w:rPr>
        <w:t>2</w:t>
      </w:r>
      <w:r>
        <w:rPr>
          <w:rFonts w:eastAsia="Calibri" w:cs="Times New Roman"/>
          <w:b/>
          <w:sz w:val="22"/>
          <w:szCs w:val="22"/>
        </w:rPr>
        <w:t>.- Procesos de mejora</w:t>
      </w:r>
    </w:p>
    <w:p w14:paraId="05B8AEEA" w14:textId="77777777" w:rsidR="00BD4F6A" w:rsidRDefault="00BD4F6A" w:rsidP="00BD4F6A">
      <w:pPr>
        <w:spacing w:before="0" w:after="0"/>
        <w:rPr>
          <w:rFonts w:eastAsia="Calibri" w:cs="Times New Roman"/>
          <w:b/>
          <w:sz w:val="22"/>
          <w:szCs w:val="22"/>
        </w:rPr>
      </w:pPr>
      <w:r>
        <w:rPr>
          <w:rFonts w:eastAsia="Calibri" w:cs="Times New Roman"/>
          <w:b/>
          <w:sz w:val="22"/>
          <w:szCs w:val="22"/>
        </w:rPr>
        <w:t>a) Principales políticas de control interno</w:t>
      </w:r>
    </w:p>
    <w:p w14:paraId="191AF94A" w14:textId="77777777" w:rsidR="00BD4F6A" w:rsidRDefault="00BD4F6A" w:rsidP="00BD4F6A">
      <w:pPr>
        <w:spacing w:before="0" w:after="0"/>
        <w:rPr>
          <w:rFonts w:eastAsia="Calibri" w:cs="Times New Roman"/>
          <w:bCs/>
          <w:sz w:val="22"/>
          <w:szCs w:val="22"/>
        </w:rPr>
      </w:pPr>
    </w:p>
    <w:p w14:paraId="3ADA3ACA" w14:textId="77777777" w:rsidR="00BD4F6A" w:rsidRDefault="00BD4F6A" w:rsidP="00BD4F6A">
      <w:pPr>
        <w:spacing w:before="0" w:after="0"/>
        <w:rPr>
          <w:rFonts w:eastAsia="Calibri" w:cs="Times New Roman"/>
          <w:bCs/>
          <w:sz w:val="22"/>
          <w:szCs w:val="22"/>
        </w:rPr>
      </w:pPr>
      <w:r w:rsidRPr="00A13CDA">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610E25FB" w14:textId="77777777" w:rsidR="00BD4F6A" w:rsidRPr="00A13CDA" w:rsidRDefault="00BD4F6A" w:rsidP="00BD4F6A">
      <w:pPr>
        <w:spacing w:before="0" w:after="0"/>
        <w:rPr>
          <w:rFonts w:eastAsia="Calibri" w:cs="Times New Roman"/>
          <w:bCs/>
          <w:sz w:val="22"/>
          <w:szCs w:val="22"/>
        </w:rPr>
      </w:pPr>
    </w:p>
    <w:p w14:paraId="76D3FCC6" w14:textId="77777777" w:rsidR="00BD4F6A" w:rsidRDefault="00BD4F6A" w:rsidP="00BD4F6A">
      <w:pPr>
        <w:spacing w:before="0" w:after="0"/>
        <w:rPr>
          <w:rFonts w:eastAsia="Calibri" w:cs="Times New Roman"/>
          <w:bCs/>
          <w:sz w:val="22"/>
          <w:szCs w:val="22"/>
        </w:rPr>
      </w:pPr>
      <w:r w:rsidRPr="00A13CDA">
        <w:rPr>
          <w:rFonts w:eastAsia="Calibri" w:cs="Times New Roman"/>
          <w:bCs/>
          <w:sz w:val="22"/>
          <w:szCs w:val="22"/>
        </w:rPr>
        <w:t>El 21 de diciembre de 2020 se publicó en el Periódico Oficial del Gobierno del Estado de Michoacán, el Acuerdo por el que se emiten las Normas de Aplicación General en Materia de Control Interno para la Administración Pública del Estado de Michoacán de Ocampo.</w:t>
      </w:r>
    </w:p>
    <w:p w14:paraId="3D953C07" w14:textId="77777777" w:rsidR="00BD4F6A" w:rsidRDefault="00BD4F6A" w:rsidP="00BD4F6A">
      <w:pPr>
        <w:spacing w:before="0" w:after="0"/>
        <w:rPr>
          <w:rFonts w:eastAsia="Calibri" w:cs="Times New Roman"/>
          <w:bCs/>
          <w:sz w:val="22"/>
          <w:szCs w:val="22"/>
        </w:rPr>
      </w:pPr>
    </w:p>
    <w:p w14:paraId="212CBB60" w14:textId="77777777" w:rsidR="00BD4F6A" w:rsidRDefault="00BD4F6A" w:rsidP="00BD4F6A">
      <w:pPr>
        <w:spacing w:before="0" w:after="0"/>
        <w:rPr>
          <w:rFonts w:eastAsia="Calibri" w:cs="Times New Roman"/>
          <w:bCs/>
          <w:sz w:val="22"/>
          <w:szCs w:val="22"/>
        </w:rPr>
      </w:pPr>
      <w:r w:rsidRPr="00A13CDA">
        <w:rPr>
          <w:rFonts w:eastAsia="Calibri" w:cs="Times New Roman"/>
          <w:bCs/>
          <w:sz w:val="22"/>
          <w:szCs w:val="22"/>
        </w:rPr>
        <w:t>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4C1D1BC1" w14:textId="77777777" w:rsidR="00BD4F6A" w:rsidRDefault="00BD4F6A" w:rsidP="00BD4F6A">
      <w:pPr>
        <w:spacing w:before="0" w:after="0"/>
        <w:rPr>
          <w:rFonts w:eastAsia="Calibri" w:cs="Times New Roman"/>
          <w:bCs/>
          <w:sz w:val="22"/>
          <w:szCs w:val="22"/>
        </w:rPr>
      </w:pPr>
    </w:p>
    <w:p w14:paraId="13BE98B4" w14:textId="77777777" w:rsidR="00BD4F6A" w:rsidRDefault="00BD4F6A" w:rsidP="00BD4F6A">
      <w:pPr>
        <w:spacing w:before="0" w:after="0"/>
        <w:rPr>
          <w:rFonts w:eastAsia="Calibri" w:cs="Times New Roman"/>
          <w:bCs/>
          <w:sz w:val="22"/>
          <w:szCs w:val="22"/>
        </w:rPr>
      </w:pPr>
      <w:r>
        <w:rPr>
          <w:rFonts w:eastAsia="Calibri" w:cs="Times New Roman"/>
          <w:bCs/>
          <w:sz w:val="22"/>
          <w:szCs w:val="22"/>
        </w:rPr>
        <w:t>En 2022 se llevó a cabo el trabajo de elaboración de una matriz de riesgos, identificando l</w:t>
      </w:r>
      <w:r w:rsidRPr="00A13CDA">
        <w:rPr>
          <w:rFonts w:eastAsia="Calibri" w:cs="Times New Roman"/>
          <w:bCs/>
          <w:sz w:val="22"/>
          <w:szCs w:val="22"/>
        </w:rPr>
        <w:t>a probabilidad de que un evento o acción adversa pueda ocurrir, y su impacto afecte negativamente en el logro de objetivos y metas</w:t>
      </w:r>
      <w:r>
        <w:rPr>
          <w:rFonts w:eastAsia="Calibri" w:cs="Times New Roman"/>
          <w:bCs/>
          <w:sz w:val="22"/>
          <w:szCs w:val="22"/>
        </w:rPr>
        <w:t>, así como l</w:t>
      </w:r>
      <w:r w:rsidRPr="00A13CDA">
        <w:rPr>
          <w:rFonts w:eastAsia="Calibri" w:cs="Times New Roman"/>
          <w:bCs/>
          <w:sz w:val="22"/>
          <w:szCs w:val="22"/>
        </w:rPr>
        <w:t>as circunstancias, causa o situación interna o externa que aumente la probabilidad de que un riesgo se materialice</w:t>
      </w:r>
      <w:r>
        <w:rPr>
          <w:rFonts w:eastAsia="Calibri" w:cs="Times New Roman"/>
          <w:bCs/>
          <w:sz w:val="22"/>
          <w:szCs w:val="22"/>
        </w:rPr>
        <w:t xml:space="preserve">, </w:t>
      </w:r>
      <w:r w:rsidRPr="00A13CDA">
        <w:rPr>
          <w:rFonts w:eastAsia="Calibri" w:cs="Times New Roman"/>
          <w:bCs/>
          <w:sz w:val="22"/>
          <w:szCs w:val="22"/>
        </w:rPr>
        <w:t>para</w:t>
      </w:r>
      <w:r>
        <w:rPr>
          <w:rFonts w:eastAsia="Calibri" w:cs="Times New Roman"/>
          <w:bCs/>
          <w:sz w:val="22"/>
          <w:szCs w:val="22"/>
        </w:rPr>
        <w:t xml:space="preserve"> poder</w:t>
      </w:r>
      <w:r w:rsidRPr="00A13CDA">
        <w:rPr>
          <w:rFonts w:eastAsia="Calibri" w:cs="Times New Roman"/>
          <w:bCs/>
          <w:sz w:val="22"/>
          <w:szCs w:val="22"/>
        </w:rPr>
        <w:t xml:space="preserve"> identificar estrategias y áreas de oportunidad en la Institución, considerando las etapas de la metodología de administración de riegos.</w:t>
      </w:r>
    </w:p>
    <w:p w14:paraId="11F4DFD9" w14:textId="77777777" w:rsidR="00BD4F6A" w:rsidRDefault="00BD4F6A" w:rsidP="00BD4F6A">
      <w:pPr>
        <w:spacing w:before="0" w:after="0"/>
        <w:rPr>
          <w:rFonts w:eastAsia="Calibri" w:cs="Times New Roman"/>
          <w:bCs/>
          <w:sz w:val="22"/>
          <w:szCs w:val="22"/>
        </w:rPr>
      </w:pPr>
    </w:p>
    <w:p w14:paraId="7A3C52FB" w14:textId="77777777" w:rsidR="00BD4F6A" w:rsidRDefault="00BD4F6A" w:rsidP="00BD4F6A">
      <w:pPr>
        <w:spacing w:before="0" w:after="0"/>
        <w:rPr>
          <w:rFonts w:eastAsia="Calibri" w:cs="Times New Roman"/>
          <w:bCs/>
          <w:sz w:val="22"/>
          <w:szCs w:val="22"/>
        </w:rPr>
      </w:pPr>
      <w:r>
        <w:rPr>
          <w:rFonts w:eastAsia="Calibri" w:cs="Times New Roman"/>
          <w:bCs/>
          <w:sz w:val="22"/>
          <w:szCs w:val="22"/>
        </w:rPr>
        <w:lastRenderedPageBreak/>
        <w:t>De esta manera se identificaron riesgos tanto humanos como financieros, presupuestales, técnicos, administrativos, de tecnologías de la información, normativos y del entorno, los cuales se clasificaron por su probabilidad de ocurrencia de la siguiente manera:</w:t>
      </w:r>
    </w:p>
    <w:p w14:paraId="77486E80" w14:textId="77777777" w:rsidR="00BD4F6A" w:rsidRDefault="00BD4F6A" w:rsidP="00BD4F6A">
      <w:pPr>
        <w:spacing w:before="0" w:after="0"/>
        <w:jc w:val="center"/>
        <w:rPr>
          <w:rFonts w:eastAsia="Calibri" w:cs="Times New Roman"/>
          <w:bCs/>
          <w:sz w:val="22"/>
          <w:szCs w:val="22"/>
        </w:rPr>
      </w:pPr>
      <w:r>
        <w:rPr>
          <w:rFonts w:eastAsia="Calibri" w:cs="Times New Roman"/>
          <w:bCs/>
          <w:noProof/>
          <w:sz w:val="22"/>
          <w:szCs w:val="22"/>
        </w:rPr>
        <w:drawing>
          <wp:inline distT="0" distB="0" distL="0" distR="0" wp14:anchorId="6FC21ACD" wp14:editId="048B1D1E">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30C42680" w14:textId="77777777" w:rsidR="00BD4F6A" w:rsidRDefault="00BD4F6A" w:rsidP="00BD4F6A">
      <w:pPr>
        <w:spacing w:before="0" w:after="0"/>
        <w:rPr>
          <w:rFonts w:eastAsia="Calibri" w:cs="Times New Roman"/>
          <w:bCs/>
          <w:sz w:val="22"/>
          <w:szCs w:val="22"/>
        </w:rPr>
      </w:pPr>
      <w:r>
        <w:rPr>
          <w:rFonts w:eastAsia="Calibri" w:cs="Times New Roman"/>
          <w:bCs/>
          <w:sz w:val="22"/>
          <w:szCs w:val="22"/>
        </w:rPr>
        <w:t>Una vez clasificados los riesgos, se define la estrategia de atención como sigue:</w:t>
      </w:r>
    </w:p>
    <w:p w14:paraId="7005DC08" w14:textId="77777777" w:rsidR="00BD4F6A" w:rsidRDefault="00BD4F6A" w:rsidP="00BD4F6A">
      <w:pPr>
        <w:spacing w:before="0" w:after="0"/>
        <w:rPr>
          <w:rFonts w:eastAsia="Calibri" w:cs="Times New Roman"/>
          <w:bCs/>
          <w:sz w:val="22"/>
          <w:szCs w:val="22"/>
        </w:rPr>
      </w:pPr>
    </w:p>
    <w:p w14:paraId="2BD70F7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1. </w:t>
      </w:r>
      <w:r w:rsidRPr="005A0A89">
        <w:rPr>
          <w:rFonts w:eastAsia="Calibri" w:cs="Times New Roman"/>
          <w:bCs/>
          <w:sz w:val="22"/>
          <w:szCs w:val="22"/>
        </w:rPr>
        <w:t xml:space="preserve">Reducir el riesgo. Implica establecer acciones dirigidas a disminuir la probabilidad de ocurrencia (acciones de prevención) y el impacto (acciones de contingencia), tales como la optimización de los procedimientos y la implementación o mejora de controles. </w:t>
      </w:r>
    </w:p>
    <w:p w14:paraId="74788205" w14:textId="77777777" w:rsidR="00BD4F6A" w:rsidRDefault="00BD4F6A" w:rsidP="00BD4F6A">
      <w:pPr>
        <w:spacing w:before="0" w:after="0"/>
        <w:rPr>
          <w:rFonts w:eastAsia="Calibri" w:cs="Times New Roman"/>
          <w:bCs/>
          <w:sz w:val="22"/>
          <w:szCs w:val="22"/>
        </w:rPr>
      </w:pPr>
    </w:p>
    <w:p w14:paraId="4E20F27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2. </w:t>
      </w:r>
      <w:r w:rsidRPr="005A0A89">
        <w:rPr>
          <w:rFonts w:eastAsia="Calibri" w:cs="Times New Roman"/>
          <w:bCs/>
          <w:sz w:val="22"/>
          <w:szCs w:val="22"/>
        </w:rPr>
        <w:t xml:space="preserve">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610210B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3. </w:t>
      </w:r>
      <w:r w:rsidRPr="005A0A89">
        <w:rPr>
          <w:rFonts w:eastAsia="Calibri" w:cs="Times New Roman"/>
          <w:bCs/>
          <w:sz w:val="22"/>
          <w:szCs w:val="22"/>
        </w:rPr>
        <w:t>Transferir el riesgo. Consiste en trasladar el riesgo a un externo a través de la contratación de servicios tercerizados, el cual deberá́</w:t>
      </w:r>
      <w:r>
        <w:rPr>
          <w:rFonts w:eastAsia="Calibri" w:cs="Times New Roman"/>
          <w:bCs/>
          <w:sz w:val="22"/>
          <w:szCs w:val="22"/>
        </w:rPr>
        <w:t xml:space="preserve"> te</w:t>
      </w:r>
      <w:r w:rsidRPr="005A0A89">
        <w:rPr>
          <w:rFonts w:eastAsia="Calibri" w:cs="Times New Roman"/>
          <w:bCs/>
          <w:sz w:val="22"/>
          <w:szCs w:val="22"/>
        </w:rPr>
        <w:t xml:space="preserve">ner la experiencia y especialización necesaria para asumir el riesgo, así́ como sus impactos o pérdidas derivadas de su materialización </w:t>
      </w:r>
    </w:p>
    <w:p w14:paraId="27478496" w14:textId="77777777" w:rsidR="00BD4F6A" w:rsidRDefault="00BD4F6A" w:rsidP="00BD4F6A">
      <w:pPr>
        <w:spacing w:before="0" w:after="0"/>
        <w:rPr>
          <w:rFonts w:eastAsia="Calibri" w:cs="Times New Roman"/>
          <w:bCs/>
          <w:sz w:val="22"/>
          <w:szCs w:val="22"/>
        </w:rPr>
      </w:pPr>
    </w:p>
    <w:p w14:paraId="7DB634FF"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4. </w:t>
      </w:r>
      <w:r w:rsidRPr="005A0A89">
        <w:rPr>
          <w:rFonts w:eastAsia="Calibri" w:cs="Times New Roman"/>
          <w:bCs/>
          <w:sz w:val="22"/>
          <w:szCs w:val="22"/>
        </w:rPr>
        <w:t xml:space="preserve">Compartir el </w:t>
      </w:r>
      <w:proofErr w:type="gramStart"/>
      <w:r w:rsidRPr="005A0A89">
        <w:rPr>
          <w:rFonts w:eastAsia="Calibri" w:cs="Times New Roman"/>
          <w:bCs/>
          <w:sz w:val="22"/>
          <w:szCs w:val="22"/>
        </w:rPr>
        <w:t>riesgo.-</w:t>
      </w:r>
      <w:proofErr w:type="gramEnd"/>
      <w:r w:rsidRPr="005A0A89">
        <w:rPr>
          <w:rFonts w:eastAsia="Calibri" w:cs="Times New Roman"/>
          <w:bCs/>
          <w:sz w:val="22"/>
          <w:szCs w:val="22"/>
        </w:rPr>
        <w:t xml:space="preserve"> Se refiere a distribuir parcialmente el riesgo y las posibles consecuencias, a efecto de segmentarlo y canalizarlo a diferentes unidades administrativas </w:t>
      </w:r>
      <w:r w:rsidRPr="005A0A89">
        <w:rPr>
          <w:rFonts w:eastAsia="Calibri" w:cs="Times New Roman"/>
          <w:bCs/>
          <w:sz w:val="22"/>
          <w:szCs w:val="22"/>
        </w:rPr>
        <w:lastRenderedPageBreak/>
        <w:t xml:space="preserve">de la institución, las cuales se responsabilizaran de la parte del riesgo que les corresponda en su ámbito de competencia. </w:t>
      </w:r>
    </w:p>
    <w:p w14:paraId="521C17EB" w14:textId="77777777" w:rsidR="00BD4F6A" w:rsidRDefault="00BD4F6A" w:rsidP="00BD4F6A">
      <w:pPr>
        <w:spacing w:before="0" w:after="0"/>
        <w:rPr>
          <w:rFonts w:eastAsia="Calibri" w:cs="Times New Roman"/>
          <w:bCs/>
          <w:sz w:val="22"/>
          <w:szCs w:val="22"/>
        </w:rPr>
      </w:pPr>
    </w:p>
    <w:p w14:paraId="1ACE60D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5. </w:t>
      </w:r>
      <w:r w:rsidRPr="005A0A89">
        <w:rPr>
          <w:rFonts w:eastAsia="Calibri" w:cs="Times New Roman"/>
          <w:bCs/>
          <w:sz w:val="22"/>
          <w:szCs w:val="22"/>
        </w:rPr>
        <w:t xml:space="preserve">Tolerancia al Riesgo. La Administración deberá́ definir la tolerancia a los riesgos identificados para los objetivos estratégicos definidos por la Institución. En donde la tolerancia al riesgo se debe considerar como el nivel aceptable de diferencia entre el cumplimiento cabal del objetivo estratégico, respecto de su grado real de cumplimiento </w:t>
      </w:r>
    </w:p>
    <w:p w14:paraId="7A6538F1" w14:textId="77777777" w:rsidR="00BD4F6A" w:rsidRDefault="00BD4F6A" w:rsidP="00BD4F6A">
      <w:pPr>
        <w:spacing w:before="0" w:after="0"/>
        <w:rPr>
          <w:rFonts w:eastAsia="Calibri" w:cs="Times New Roman"/>
          <w:bCs/>
          <w:sz w:val="22"/>
          <w:szCs w:val="22"/>
        </w:rPr>
      </w:pPr>
    </w:p>
    <w:p w14:paraId="184681E5" w14:textId="77777777" w:rsidR="00BD4F6A" w:rsidRPr="00A13CDA" w:rsidRDefault="00BD4F6A" w:rsidP="00BD4F6A">
      <w:pPr>
        <w:spacing w:before="0" w:after="0"/>
        <w:rPr>
          <w:rFonts w:eastAsia="Calibri" w:cs="Times New Roman"/>
          <w:bCs/>
          <w:sz w:val="22"/>
          <w:szCs w:val="22"/>
        </w:rPr>
      </w:pPr>
      <w:r>
        <w:rPr>
          <w:rFonts w:eastAsia="Calibri" w:cs="Times New Roman"/>
          <w:bCs/>
          <w:sz w:val="22"/>
          <w:szCs w:val="22"/>
        </w:rPr>
        <w:t xml:space="preserve">6. </w:t>
      </w:r>
      <w:r w:rsidRPr="005A0A89">
        <w:rPr>
          <w:rFonts w:eastAsia="Calibri" w:cs="Times New Roman"/>
          <w:bCs/>
          <w:sz w:val="22"/>
          <w:szCs w:val="22"/>
        </w:rPr>
        <w:t>Servicios Tercerizados. La Administración conserva la responsabilidad sobre el desempeño de las actividades realizadas por los servicios tercerizados que contrate para realizar algunos procesos operativos para la institución, tales como servicios de tecnologías de información y comunicaciones, servicios de mantenimiento, servicios de seguridad o servicios de limpieza</w:t>
      </w:r>
    </w:p>
    <w:p w14:paraId="63F1E9E8" w14:textId="77777777" w:rsidR="00BD4F6A" w:rsidRPr="005A0A89" w:rsidRDefault="00BD4F6A" w:rsidP="00BD4F6A">
      <w:pPr>
        <w:spacing w:before="0" w:after="0"/>
        <w:rPr>
          <w:rFonts w:eastAsia="Calibri" w:cs="Times New Roman"/>
          <w:bCs/>
          <w:sz w:val="22"/>
          <w:szCs w:val="22"/>
        </w:rPr>
      </w:pPr>
    </w:p>
    <w:p w14:paraId="52A76091" w14:textId="77777777" w:rsidR="00BD4F6A" w:rsidRPr="005A0A89" w:rsidRDefault="00BD4F6A" w:rsidP="00BD4F6A">
      <w:pPr>
        <w:spacing w:before="0" w:after="0"/>
        <w:rPr>
          <w:rFonts w:eastAsia="Calibri" w:cs="Times New Roman"/>
          <w:bCs/>
          <w:sz w:val="22"/>
          <w:szCs w:val="22"/>
        </w:rPr>
      </w:pPr>
      <w:r w:rsidRPr="005A0A89">
        <w:rPr>
          <w:rFonts w:eastAsia="Calibri" w:cs="Times New Roman"/>
          <w:bCs/>
          <w:sz w:val="22"/>
          <w:szCs w:val="22"/>
        </w:rPr>
        <w:t xml:space="preserve">De esta manera se pretende avanzar en la mejora de la administración pública en </w:t>
      </w:r>
      <w:r>
        <w:rPr>
          <w:rFonts w:eastAsia="Calibri" w:cs="Times New Roman"/>
          <w:bCs/>
          <w:sz w:val="22"/>
          <w:szCs w:val="22"/>
        </w:rPr>
        <w:t>cumplimiento de la normativa aplicable.</w:t>
      </w:r>
    </w:p>
    <w:p w14:paraId="7A307B1B" w14:textId="77777777" w:rsidR="00BD4F6A" w:rsidRDefault="00BD4F6A" w:rsidP="00BD4F6A">
      <w:pPr>
        <w:spacing w:before="0" w:after="0"/>
        <w:rPr>
          <w:rFonts w:eastAsia="Calibri" w:cs="Times New Roman"/>
          <w:b/>
          <w:sz w:val="22"/>
          <w:szCs w:val="22"/>
        </w:rPr>
      </w:pPr>
    </w:p>
    <w:p w14:paraId="30EFB23F" w14:textId="626D8222"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3</w:t>
      </w:r>
      <w:r>
        <w:rPr>
          <w:rFonts w:eastAsia="Calibri" w:cs="Times New Roman"/>
          <w:b/>
          <w:sz w:val="22"/>
          <w:szCs w:val="22"/>
        </w:rPr>
        <w:t>. Información por segmentos</w:t>
      </w:r>
    </w:p>
    <w:p w14:paraId="7695E30A" w14:textId="77777777" w:rsidR="00BD4F6A" w:rsidRDefault="00BD4F6A" w:rsidP="00BD4F6A">
      <w:pPr>
        <w:spacing w:before="0" w:after="0"/>
        <w:rPr>
          <w:rFonts w:eastAsia="Calibri" w:cs="Times New Roman"/>
          <w:b/>
          <w:sz w:val="22"/>
          <w:szCs w:val="22"/>
        </w:rPr>
      </w:pPr>
      <w:r w:rsidRPr="00FA238D">
        <w:rPr>
          <w:rFonts w:eastAsia="Calibri" w:cs="Times New Roman"/>
          <w:bCs/>
          <w:sz w:val="22"/>
          <w:szCs w:val="22"/>
        </w:rPr>
        <w:t>Para el periodo que se reporta, no existe información referente a segmentos por revelar.</w:t>
      </w:r>
    </w:p>
    <w:p w14:paraId="6F33F3C3" w14:textId="77777777" w:rsidR="00BD4F6A" w:rsidRDefault="00BD4F6A" w:rsidP="00BD4F6A">
      <w:pPr>
        <w:spacing w:before="0" w:after="0"/>
        <w:rPr>
          <w:rFonts w:eastAsia="Calibri" w:cs="Times New Roman"/>
          <w:b/>
          <w:sz w:val="22"/>
          <w:szCs w:val="22"/>
        </w:rPr>
      </w:pPr>
    </w:p>
    <w:p w14:paraId="371B66DE" w14:textId="39B3A2E3"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4</w:t>
      </w:r>
      <w:r>
        <w:rPr>
          <w:rFonts w:eastAsia="Calibri" w:cs="Times New Roman"/>
          <w:b/>
          <w:sz w:val="22"/>
          <w:szCs w:val="22"/>
        </w:rPr>
        <w:t>. Eventos Posteriores al Cierre</w:t>
      </w:r>
    </w:p>
    <w:p w14:paraId="31462333" w14:textId="77777777" w:rsidR="00BD4F6A" w:rsidRPr="00055CD3"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757C8B0F" w14:textId="77777777" w:rsidR="0077166D" w:rsidRDefault="0077166D" w:rsidP="00BD4F6A">
      <w:pPr>
        <w:spacing w:before="0" w:after="0"/>
        <w:rPr>
          <w:rFonts w:eastAsia="Calibri" w:cs="Times New Roman"/>
          <w:b/>
          <w:sz w:val="22"/>
          <w:szCs w:val="22"/>
        </w:rPr>
      </w:pPr>
    </w:p>
    <w:p w14:paraId="1721B90F" w14:textId="77777777" w:rsidR="0077166D" w:rsidRDefault="0077166D" w:rsidP="00BD4F6A">
      <w:pPr>
        <w:spacing w:before="0" w:after="0"/>
        <w:rPr>
          <w:rFonts w:eastAsia="Calibri" w:cs="Times New Roman"/>
          <w:b/>
          <w:sz w:val="22"/>
          <w:szCs w:val="22"/>
        </w:rPr>
      </w:pPr>
    </w:p>
    <w:p w14:paraId="0CED7994" w14:textId="45EFAF37" w:rsidR="00BD4F6A" w:rsidRDefault="00BD4F6A" w:rsidP="00BD4F6A">
      <w:pPr>
        <w:spacing w:before="0" w:after="0"/>
        <w:rPr>
          <w:rFonts w:eastAsia="Calibri" w:cs="Times New Roman"/>
          <w:b/>
          <w:sz w:val="22"/>
          <w:szCs w:val="22"/>
        </w:rPr>
      </w:pPr>
      <w:r>
        <w:rPr>
          <w:rFonts w:eastAsia="Calibri" w:cs="Times New Roman"/>
          <w:b/>
          <w:sz w:val="22"/>
          <w:szCs w:val="22"/>
        </w:rPr>
        <w:lastRenderedPageBreak/>
        <w:t>1</w:t>
      </w:r>
      <w:r w:rsidR="00C85D46">
        <w:rPr>
          <w:rFonts w:eastAsia="Calibri" w:cs="Times New Roman"/>
          <w:b/>
          <w:sz w:val="22"/>
          <w:szCs w:val="22"/>
        </w:rPr>
        <w:t>5</w:t>
      </w:r>
      <w:r w:rsidRPr="005A5120">
        <w:rPr>
          <w:rFonts w:eastAsia="Calibri" w:cs="Times New Roman"/>
          <w:b/>
          <w:sz w:val="22"/>
          <w:szCs w:val="22"/>
        </w:rPr>
        <w:t>.</w:t>
      </w:r>
      <w:r w:rsidRPr="005A5120">
        <w:rPr>
          <w:rFonts w:eastAsia="Calibri" w:cs="Times New Roman"/>
          <w:b/>
          <w:sz w:val="22"/>
          <w:szCs w:val="22"/>
        </w:rPr>
        <w:tab/>
        <w:t>Partes Relacionadas</w:t>
      </w:r>
    </w:p>
    <w:p w14:paraId="66BC99FE" w14:textId="77777777" w:rsidR="00BD4F6A" w:rsidRPr="005A5120" w:rsidRDefault="00BD4F6A" w:rsidP="00BD4F6A">
      <w:pPr>
        <w:spacing w:before="0" w:after="0"/>
        <w:rPr>
          <w:rFonts w:eastAsia="Calibri" w:cs="Times New Roman"/>
          <w:color w:val="000000"/>
          <w:sz w:val="22"/>
          <w:szCs w:val="22"/>
        </w:rPr>
      </w:pPr>
      <w:r w:rsidRPr="005A5120">
        <w:rPr>
          <w:rFonts w:eastAsia="Calibri" w:cs="Times New Roman"/>
          <w:color w:val="000000"/>
          <w:sz w:val="22"/>
          <w:szCs w:val="22"/>
        </w:rPr>
        <w:t>No existen partes relacionadas que pudieran ejercer influencia significativa en la toma de decisiones financieras y operativas.</w:t>
      </w:r>
    </w:p>
    <w:p w14:paraId="1AB6DD4D" w14:textId="77777777" w:rsidR="00BD4F6A" w:rsidRDefault="00BD4F6A" w:rsidP="00BD4F6A">
      <w:pPr>
        <w:spacing w:before="0" w:after="0"/>
        <w:rPr>
          <w:rFonts w:eastAsia="Calibri" w:cs="Times New Roman"/>
          <w:color w:val="000000"/>
          <w:sz w:val="22"/>
          <w:szCs w:val="22"/>
        </w:rPr>
      </w:pPr>
      <w:r w:rsidRPr="005A5120">
        <w:rPr>
          <w:rFonts w:eastAsia="Calibri" w:cs="Times New Roman"/>
          <w:color w:val="000000"/>
          <w:sz w:val="22"/>
          <w:szCs w:val="22"/>
        </w:rPr>
        <w:t>Lo anterior, se refiere a que no existen entes o personas que tengan la capacidad de controlar o ejercer dicha influen</w:t>
      </w:r>
      <w:r>
        <w:rPr>
          <w:rFonts w:eastAsia="Calibri" w:cs="Times New Roman"/>
          <w:color w:val="000000"/>
          <w:sz w:val="22"/>
          <w:szCs w:val="22"/>
        </w:rPr>
        <w:t>cia en la Administración Pública del Gobierno del Estado de Michoacán.</w:t>
      </w:r>
    </w:p>
    <w:p w14:paraId="7454A444" w14:textId="77777777" w:rsidR="00BD4F6A" w:rsidRDefault="00BD4F6A" w:rsidP="00BD4F6A">
      <w:pPr>
        <w:spacing w:before="0" w:after="0"/>
        <w:rPr>
          <w:rFonts w:eastAsia="Calibri" w:cs="Times New Roman"/>
          <w:color w:val="000000"/>
          <w:sz w:val="22"/>
          <w:szCs w:val="22"/>
        </w:rPr>
      </w:pPr>
    </w:p>
    <w:p w14:paraId="6E2EC7FA" w14:textId="7172147E" w:rsidR="00BD4F6A" w:rsidRDefault="00BD4F6A" w:rsidP="00BD4F6A">
      <w:pPr>
        <w:spacing w:before="0" w:after="0"/>
        <w:rPr>
          <w:rFonts w:eastAsia="Calibri" w:cs="Times New Roman"/>
          <w:b/>
          <w:bCs/>
          <w:color w:val="000000"/>
          <w:sz w:val="22"/>
          <w:szCs w:val="22"/>
        </w:rPr>
      </w:pPr>
      <w:r w:rsidRPr="00055CD3">
        <w:rPr>
          <w:rFonts w:eastAsia="Calibri" w:cs="Times New Roman"/>
          <w:b/>
          <w:bCs/>
          <w:color w:val="000000"/>
          <w:sz w:val="22"/>
          <w:szCs w:val="22"/>
        </w:rPr>
        <w:t>1</w:t>
      </w:r>
      <w:r w:rsidR="00C85D46">
        <w:rPr>
          <w:rFonts w:eastAsia="Calibri" w:cs="Times New Roman"/>
          <w:b/>
          <w:bCs/>
          <w:color w:val="000000"/>
          <w:sz w:val="22"/>
          <w:szCs w:val="22"/>
        </w:rPr>
        <w:t>6</w:t>
      </w:r>
      <w:r w:rsidRPr="00055CD3">
        <w:rPr>
          <w:rFonts w:eastAsia="Calibri" w:cs="Times New Roman"/>
          <w:b/>
          <w:bCs/>
          <w:color w:val="000000"/>
          <w:sz w:val="22"/>
          <w:szCs w:val="22"/>
        </w:rPr>
        <w:t>.</w:t>
      </w:r>
      <w:r>
        <w:rPr>
          <w:rFonts w:eastAsia="Calibri" w:cs="Times New Roman"/>
          <w:b/>
          <w:bCs/>
          <w:color w:val="000000"/>
          <w:sz w:val="22"/>
          <w:szCs w:val="22"/>
        </w:rPr>
        <w:t xml:space="preserve"> Responsabilidad sobre la presentación razonable de la información contable</w:t>
      </w:r>
    </w:p>
    <w:p w14:paraId="7A4B649E" w14:textId="77777777" w:rsidR="00BD4F6A" w:rsidRDefault="00BD4F6A" w:rsidP="00BD4F6A">
      <w:pPr>
        <w:spacing w:before="0" w:after="0"/>
        <w:rPr>
          <w:rFonts w:eastAsia="Calibri" w:cs="Times New Roman"/>
          <w:color w:val="000000"/>
          <w:sz w:val="22"/>
          <w:szCs w:val="22"/>
        </w:rPr>
      </w:pPr>
      <w:r>
        <w:rPr>
          <w:rFonts w:eastAsia="Calibri" w:cs="Times New Roman"/>
          <w:color w:val="000000"/>
          <w:sz w:val="22"/>
          <w:szCs w:val="22"/>
        </w:rPr>
        <w:t>Los Estados Financieros contables están firmados al calce, bajo protesta de decir verdad, declarando que estos y sus notas son razonablemente correctos y son responsabilidad del emisor.</w:t>
      </w:r>
    </w:p>
    <w:p w14:paraId="226AB832" w14:textId="1E05009B" w:rsidR="008F2D6B" w:rsidRPr="00055CD3" w:rsidRDefault="008F2D6B" w:rsidP="00BD4F6A">
      <w:pPr>
        <w:spacing w:before="0" w:after="0"/>
        <w:rPr>
          <w:rFonts w:eastAsia="Calibri" w:cs="Times New Roman"/>
          <w:color w:val="000000"/>
          <w:sz w:val="22"/>
          <w:szCs w:val="22"/>
        </w:rPr>
      </w:pPr>
    </w:p>
    <w:p w14:paraId="484CF015" w14:textId="77777777" w:rsidR="009A3967" w:rsidRDefault="009A3967" w:rsidP="00B82D70">
      <w:pPr>
        <w:spacing w:before="0" w:after="0"/>
        <w:jc w:val="center"/>
        <w:rPr>
          <w:rFonts w:eastAsia="Calibri" w:cs="Times New Roman"/>
          <w:b/>
          <w:sz w:val="28"/>
          <w:szCs w:val="28"/>
        </w:rPr>
      </w:pPr>
    </w:p>
    <w:p w14:paraId="7163C022" w14:textId="77777777" w:rsidR="009A3967" w:rsidRDefault="009A3967" w:rsidP="00B82D70">
      <w:pPr>
        <w:spacing w:before="0" w:after="0"/>
        <w:jc w:val="center"/>
        <w:rPr>
          <w:rFonts w:eastAsia="Calibri" w:cs="Times New Roman"/>
          <w:b/>
          <w:sz w:val="28"/>
          <w:szCs w:val="28"/>
        </w:rPr>
      </w:pPr>
    </w:p>
    <w:p w14:paraId="0BA7394D" w14:textId="77777777" w:rsidR="009A3967" w:rsidRDefault="009A3967" w:rsidP="00B82D70">
      <w:pPr>
        <w:spacing w:before="0" w:after="0"/>
        <w:jc w:val="center"/>
        <w:rPr>
          <w:rFonts w:eastAsia="Calibri" w:cs="Times New Roman"/>
          <w:b/>
          <w:sz w:val="28"/>
          <w:szCs w:val="28"/>
        </w:rPr>
      </w:pPr>
    </w:p>
    <w:p w14:paraId="2DCE1DCA" w14:textId="77777777" w:rsidR="009A3967" w:rsidRDefault="009A3967" w:rsidP="00B82D70">
      <w:pPr>
        <w:spacing w:before="0" w:after="0"/>
        <w:jc w:val="center"/>
        <w:rPr>
          <w:rFonts w:eastAsia="Calibri" w:cs="Times New Roman"/>
          <w:b/>
          <w:sz w:val="28"/>
          <w:szCs w:val="28"/>
        </w:rPr>
      </w:pPr>
    </w:p>
    <w:p w14:paraId="214A75EA" w14:textId="77777777" w:rsidR="009A3967" w:rsidRDefault="009A3967" w:rsidP="00B82D70">
      <w:pPr>
        <w:spacing w:before="0" w:after="0"/>
        <w:jc w:val="center"/>
        <w:rPr>
          <w:rFonts w:eastAsia="Calibri" w:cs="Times New Roman"/>
          <w:b/>
          <w:sz w:val="28"/>
          <w:szCs w:val="28"/>
        </w:rPr>
      </w:pPr>
    </w:p>
    <w:p w14:paraId="7A290F0D" w14:textId="77777777" w:rsidR="009A3967" w:rsidRDefault="009A3967" w:rsidP="00B82D70">
      <w:pPr>
        <w:spacing w:before="0" w:after="0"/>
        <w:jc w:val="center"/>
        <w:rPr>
          <w:rFonts w:eastAsia="Calibri" w:cs="Times New Roman"/>
          <w:b/>
          <w:sz w:val="28"/>
          <w:szCs w:val="28"/>
        </w:rPr>
      </w:pPr>
    </w:p>
    <w:p w14:paraId="11A6749C" w14:textId="77777777" w:rsidR="009A3967" w:rsidRDefault="009A3967" w:rsidP="00B82D70">
      <w:pPr>
        <w:spacing w:before="0" w:after="0"/>
        <w:jc w:val="center"/>
        <w:rPr>
          <w:rFonts w:eastAsia="Calibri" w:cs="Times New Roman"/>
          <w:b/>
          <w:sz w:val="28"/>
          <w:szCs w:val="28"/>
        </w:rPr>
      </w:pPr>
    </w:p>
    <w:p w14:paraId="2040DB89" w14:textId="77777777" w:rsidR="009A3967" w:rsidRDefault="009A3967" w:rsidP="00B82D70">
      <w:pPr>
        <w:spacing w:before="0" w:after="0"/>
        <w:jc w:val="center"/>
        <w:rPr>
          <w:rFonts w:eastAsia="Calibri" w:cs="Times New Roman"/>
          <w:b/>
          <w:sz w:val="28"/>
          <w:szCs w:val="28"/>
        </w:rPr>
      </w:pPr>
    </w:p>
    <w:p w14:paraId="0123666E" w14:textId="77777777" w:rsidR="009A3967" w:rsidRDefault="009A3967" w:rsidP="00B82D70">
      <w:pPr>
        <w:spacing w:before="0" w:after="0"/>
        <w:jc w:val="center"/>
        <w:rPr>
          <w:rFonts w:eastAsia="Calibri" w:cs="Times New Roman"/>
          <w:b/>
          <w:sz w:val="28"/>
          <w:szCs w:val="28"/>
        </w:rPr>
      </w:pPr>
    </w:p>
    <w:p w14:paraId="6A9145F2" w14:textId="77777777" w:rsidR="009A3967" w:rsidRDefault="009A3967" w:rsidP="00B82D70">
      <w:pPr>
        <w:spacing w:before="0" w:after="0"/>
        <w:jc w:val="center"/>
        <w:rPr>
          <w:rFonts w:eastAsia="Calibri" w:cs="Times New Roman"/>
          <w:b/>
          <w:sz w:val="28"/>
          <w:szCs w:val="28"/>
        </w:rPr>
      </w:pPr>
    </w:p>
    <w:p w14:paraId="2FD076F2" w14:textId="77777777" w:rsidR="009A3967" w:rsidRDefault="009A3967" w:rsidP="00B82D70">
      <w:pPr>
        <w:spacing w:before="0" w:after="0"/>
        <w:jc w:val="center"/>
        <w:rPr>
          <w:rFonts w:eastAsia="Calibri" w:cs="Times New Roman"/>
          <w:b/>
          <w:sz w:val="28"/>
          <w:szCs w:val="28"/>
        </w:rPr>
      </w:pPr>
    </w:p>
    <w:p w14:paraId="48A3FC6B" w14:textId="6B6FFD06" w:rsidR="00B82D70" w:rsidRDefault="00BD4F6A" w:rsidP="00B82D70">
      <w:pPr>
        <w:spacing w:before="0" w:after="0"/>
        <w:jc w:val="center"/>
        <w:rPr>
          <w:rFonts w:eastAsia="Calibri" w:cs="Times New Roman"/>
          <w:b/>
          <w:sz w:val="28"/>
          <w:szCs w:val="28"/>
        </w:rPr>
      </w:pPr>
      <w:r>
        <w:rPr>
          <w:rFonts w:eastAsia="Calibri" w:cs="Times New Roman"/>
          <w:b/>
          <w:sz w:val="28"/>
          <w:szCs w:val="28"/>
        </w:rPr>
        <w:lastRenderedPageBreak/>
        <w:t xml:space="preserve">b) </w:t>
      </w:r>
      <w:r w:rsidR="00B82D70" w:rsidRPr="0011518F">
        <w:rPr>
          <w:rFonts w:eastAsia="Calibri" w:cs="Times New Roman"/>
          <w:b/>
          <w:sz w:val="28"/>
          <w:szCs w:val="28"/>
        </w:rPr>
        <w:t>NOTAS DE DESGLOSE</w:t>
      </w:r>
    </w:p>
    <w:p w14:paraId="13A13D04" w14:textId="2BAE88AA" w:rsidR="00933739" w:rsidRDefault="00933739" w:rsidP="00B82D70">
      <w:pPr>
        <w:spacing w:before="0" w:after="0"/>
        <w:jc w:val="center"/>
        <w:rPr>
          <w:rFonts w:eastAsia="Calibri" w:cs="Times New Roman"/>
          <w:b/>
          <w:sz w:val="28"/>
          <w:szCs w:val="28"/>
        </w:rPr>
      </w:pPr>
    </w:p>
    <w:p w14:paraId="1EB2E8BE" w14:textId="756C519B" w:rsidR="009627F2" w:rsidRPr="0011518F" w:rsidRDefault="009627F2" w:rsidP="009627F2">
      <w:pPr>
        <w:widowControl w:val="0"/>
        <w:spacing w:before="0" w:after="0"/>
        <w:jc w:val="left"/>
        <w:rPr>
          <w:rFonts w:eastAsia="Calibri" w:cs="Times New Roman"/>
          <w:b/>
          <w:sz w:val="28"/>
          <w:szCs w:val="28"/>
        </w:rPr>
      </w:pPr>
      <w:r>
        <w:rPr>
          <w:rFonts w:eastAsia="Calibri" w:cs="Times New Roman"/>
          <w:b/>
        </w:rPr>
        <w:t xml:space="preserve">I). </w:t>
      </w:r>
      <w:r w:rsidRPr="00B34421">
        <w:rPr>
          <w:rFonts w:eastAsia="Calibri" w:cs="Times New Roman"/>
          <w:b/>
        </w:rPr>
        <w:t>NOTAS AL ESTADO DE ACTIVIDADES</w:t>
      </w:r>
    </w:p>
    <w:p w14:paraId="50977EFD" w14:textId="77777777" w:rsidR="009627F2" w:rsidRPr="00A11EAF" w:rsidRDefault="009627F2" w:rsidP="009627F2">
      <w:pPr>
        <w:spacing w:before="0" w:after="0"/>
        <w:rPr>
          <w:rFonts w:eastAsia="Calibri" w:cs="Times New Roman"/>
          <w:color w:val="000000"/>
          <w:sz w:val="22"/>
          <w:szCs w:val="22"/>
        </w:rPr>
      </w:pPr>
    </w:p>
    <w:p w14:paraId="5EEF9211" w14:textId="0ED51405" w:rsidR="009627F2" w:rsidRPr="00A11EAF" w:rsidRDefault="009627F2" w:rsidP="009627F2">
      <w:pPr>
        <w:spacing w:before="0" w:after="0"/>
        <w:rPr>
          <w:rFonts w:eastAsia="Calibri" w:cs="Times New Roman"/>
          <w:color w:val="000000"/>
          <w:sz w:val="22"/>
          <w:szCs w:val="22"/>
        </w:rPr>
      </w:pPr>
      <w:r w:rsidRPr="00A11EAF">
        <w:rPr>
          <w:rFonts w:eastAsia="Calibri" w:cs="Times New Roman"/>
          <w:color w:val="000000"/>
          <w:sz w:val="22"/>
          <w:szCs w:val="22"/>
        </w:rPr>
        <w:t xml:space="preserve">Este estado financiero, muestra dos grandes agregados representados por los </w:t>
      </w:r>
      <w:r w:rsidRPr="00A11EAF">
        <w:rPr>
          <w:rFonts w:eastAsia="Calibri" w:cs="Times New Roman"/>
          <w:b/>
          <w:color w:val="000000"/>
          <w:sz w:val="22"/>
          <w:szCs w:val="22"/>
        </w:rPr>
        <w:t>ingresos y otros beneficios</w:t>
      </w:r>
      <w:r w:rsidRPr="00A11EAF">
        <w:rPr>
          <w:rFonts w:eastAsia="Calibri" w:cs="Times New Roman"/>
          <w:color w:val="000000"/>
          <w:sz w:val="22"/>
          <w:szCs w:val="22"/>
        </w:rPr>
        <w:t xml:space="preserve">, así como los </w:t>
      </w:r>
      <w:r>
        <w:rPr>
          <w:rFonts w:eastAsia="Calibri" w:cs="Times New Roman"/>
          <w:b/>
          <w:color w:val="000000"/>
          <w:sz w:val="22"/>
          <w:szCs w:val="22"/>
        </w:rPr>
        <w:t>g</w:t>
      </w:r>
      <w:r w:rsidRPr="00A11EAF">
        <w:rPr>
          <w:rFonts w:eastAsia="Calibri" w:cs="Times New Roman"/>
          <w:b/>
          <w:color w:val="000000"/>
          <w:sz w:val="22"/>
          <w:szCs w:val="22"/>
        </w:rPr>
        <w:t xml:space="preserve">astos y </w:t>
      </w:r>
      <w:r>
        <w:rPr>
          <w:rFonts w:eastAsia="Calibri" w:cs="Times New Roman"/>
          <w:b/>
          <w:color w:val="000000"/>
          <w:sz w:val="22"/>
          <w:szCs w:val="22"/>
        </w:rPr>
        <w:t>o</w:t>
      </w:r>
      <w:r w:rsidRPr="00A11EAF">
        <w:rPr>
          <w:rFonts w:eastAsia="Calibri" w:cs="Times New Roman"/>
          <w:b/>
          <w:color w:val="000000"/>
          <w:sz w:val="22"/>
          <w:szCs w:val="22"/>
        </w:rPr>
        <w:t xml:space="preserve">tras </w:t>
      </w:r>
      <w:r>
        <w:rPr>
          <w:rFonts w:eastAsia="Calibri" w:cs="Times New Roman"/>
          <w:b/>
          <w:color w:val="000000"/>
          <w:sz w:val="22"/>
          <w:szCs w:val="22"/>
        </w:rPr>
        <w:t>p</w:t>
      </w:r>
      <w:r w:rsidRPr="00A11EAF">
        <w:rPr>
          <w:rFonts w:eastAsia="Calibri" w:cs="Times New Roman"/>
          <w:b/>
          <w:color w:val="000000"/>
          <w:sz w:val="22"/>
          <w:szCs w:val="22"/>
        </w:rPr>
        <w:t>érdidas</w:t>
      </w:r>
      <w:r w:rsidRPr="00A11EAF">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w:t>
      </w:r>
      <w:r>
        <w:rPr>
          <w:rFonts w:eastAsia="Calibri" w:cs="Times New Roman"/>
          <w:color w:val="000000"/>
          <w:sz w:val="22"/>
          <w:szCs w:val="22"/>
        </w:rPr>
        <w:t xml:space="preserve"> de Ocampo</w:t>
      </w:r>
      <w:r w:rsidRPr="00A11EAF">
        <w:rPr>
          <w:rFonts w:eastAsia="Calibri" w:cs="Times New Roman"/>
          <w:color w:val="000000"/>
          <w:sz w:val="22"/>
          <w:szCs w:val="22"/>
        </w:rPr>
        <w:t xml:space="preserve"> para el ejercicio fiscal 202</w:t>
      </w:r>
      <w:r>
        <w:rPr>
          <w:rFonts w:eastAsia="Calibri" w:cs="Times New Roman"/>
          <w:color w:val="000000"/>
          <w:sz w:val="22"/>
          <w:szCs w:val="22"/>
        </w:rPr>
        <w:t>2</w:t>
      </w:r>
      <w:r w:rsidRPr="00A11EAF">
        <w:rPr>
          <w:rFonts w:eastAsia="Calibri" w:cs="Times New Roman"/>
          <w:color w:val="000000"/>
          <w:sz w:val="22"/>
          <w:szCs w:val="22"/>
        </w:rPr>
        <w:t xml:space="preserve"> y al Decreto </w:t>
      </w:r>
      <w:r>
        <w:rPr>
          <w:rFonts w:eastAsia="Calibri" w:cs="Times New Roman"/>
          <w:color w:val="000000"/>
          <w:sz w:val="22"/>
          <w:szCs w:val="22"/>
        </w:rPr>
        <w:t xml:space="preserve">que contiene </w:t>
      </w:r>
      <w:r w:rsidRPr="00A11EAF">
        <w:rPr>
          <w:rFonts w:eastAsia="Calibri" w:cs="Times New Roman"/>
          <w:color w:val="000000"/>
          <w:sz w:val="22"/>
          <w:szCs w:val="22"/>
        </w:rPr>
        <w:t xml:space="preserve">de Presupuesto de Egresos del </w:t>
      </w:r>
      <w:r>
        <w:rPr>
          <w:rFonts w:eastAsia="Calibri" w:cs="Times New Roman"/>
          <w:color w:val="000000"/>
          <w:sz w:val="22"/>
          <w:szCs w:val="22"/>
        </w:rPr>
        <w:t xml:space="preserve">Gobierno del </w:t>
      </w:r>
      <w:r w:rsidRPr="00A11EAF">
        <w:rPr>
          <w:rFonts w:eastAsia="Calibri" w:cs="Times New Roman"/>
          <w:color w:val="000000"/>
          <w:sz w:val="22"/>
          <w:szCs w:val="22"/>
        </w:rPr>
        <w:t xml:space="preserve">Estado de Michoacán </w:t>
      </w:r>
      <w:r>
        <w:rPr>
          <w:rFonts w:eastAsia="Calibri" w:cs="Times New Roman"/>
          <w:color w:val="000000"/>
          <w:sz w:val="22"/>
          <w:szCs w:val="22"/>
        </w:rPr>
        <w:t xml:space="preserve">de Ocampo </w:t>
      </w:r>
      <w:r w:rsidRPr="00A11EAF">
        <w:rPr>
          <w:rFonts w:eastAsia="Calibri" w:cs="Times New Roman"/>
          <w:color w:val="000000"/>
          <w:sz w:val="22"/>
          <w:szCs w:val="22"/>
        </w:rPr>
        <w:t xml:space="preserve">del mismo ejercicio; así mismo, permite determinar el resultado del ejercicio, el cual refleja un ahorro de </w:t>
      </w:r>
      <w:r w:rsidR="009A3967">
        <w:rPr>
          <w:rFonts w:eastAsia="Calibri" w:cs="Times New Roman"/>
          <w:color w:val="000000"/>
          <w:sz w:val="22"/>
          <w:szCs w:val="22"/>
        </w:rPr>
        <w:t>2</w:t>
      </w:r>
      <w:r w:rsidRPr="004C6C20">
        <w:rPr>
          <w:rFonts w:eastAsia="Calibri" w:cs="Times New Roman"/>
          <w:color w:val="000000"/>
          <w:sz w:val="22"/>
          <w:szCs w:val="22"/>
        </w:rPr>
        <w:t xml:space="preserve"> mil </w:t>
      </w:r>
      <w:r w:rsidR="009A3967">
        <w:rPr>
          <w:rFonts w:eastAsia="Calibri" w:cs="Times New Roman"/>
          <w:color w:val="000000"/>
          <w:sz w:val="22"/>
          <w:szCs w:val="22"/>
        </w:rPr>
        <w:t>512</w:t>
      </w:r>
      <w:r w:rsidRPr="004C6C20">
        <w:rPr>
          <w:rFonts w:eastAsia="Calibri" w:cs="Times New Roman"/>
          <w:color w:val="000000"/>
          <w:sz w:val="22"/>
          <w:szCs w:val="22"/>
        </w:rPr>
        <w:t xml:space="preserve"> millones </w:t>
      </w:r>
      <w:r w:rsidR="009A3967">
        <w:rPr>
          <w:rFonts w:eastAsia="Calibri" w:cs="Times New Roman"/>
          <w:color w:val="000000"/>
          <w:sz w:val="22"/>
          <w:szCs w:val="22"/>
        </w:rPr>
        <w:t>260</w:t>
      </w:r>
      <w:r>
        <w:rPr>
          <w:rFonts w:eastAsia="Calibri" w:cs="Times New Roman"/>
          <w:color w:val="000000"/>
          <w:sz w:val="22"/>
          <w:szCs w:val="22"/>
        </w:rPr>
        <w:t xml:space="preserve"> </w:t>
      </w:r>
      <w:r w:rsidRPr="004C6C20">
        <w:rPr>
          <w:rFonts w:eastAsia="Calibri" w:cs="Times New Roman"/>
          <w:color w:val="000000"/>
          <w:sz w:val="22"/>
          <w:szCs w:val="22"/>
        </w:rPr>
        <w:t xml:space="preserve">mil </w:t>
      </w:r>
      <w:r w:rsidR="009A3967">
        <w:rPr>
          <w:rFonts w:eastAsia="Calibri" w:cs="Times New Roman"/>
          <w:color w:val="000000"/>
          <w:sz w:val="22"/>
          <w:szCs w:val="22"/>
        </w:rPr>
        <w:t>179</w:t>
      </w:r>
      <w:r w:rsidRPr="004C6C20">
        <w:rPr>
          <w:rFonts w:eastAsia="Calibri" w:cs="Times New Roman"/>
          <w:color w:val="000000"/>
          <w:sz w:val="22"/>
          <w:szCs w:val="22"/>
        </w:rPr>
        <w:t xml:space="preserve"> pesos.</w:t>
      </w:r>
      <w:r w:rsidRPr="00A11EAF">
        <w:rPr>
          <w:rFonts w:eastAsia="Calibri" w:cs="Times New Roman"/>
          <w:color w:val="000000"/>
          <w:sz w:val="22"/>
          <w:szCs w:val="22"/>
        </w:rPr>
        <w:t xml:space="preserve">  </w:t>
      </w:r>
    </w:p>
    <w:p w14:paraId="27C36E12" w14:textId="77777777" w:rsidR="009627F2" w:rsidRPr="00A11EAF" w:rsidRDefault="009627F2" w:rsidP="009627F2">
      <w:pPr>
        <w:spacing w:before="0" w:after="0"/>
        <w:rPr>
          <w:rFonts w:eastAsia="Calibri" w:cs="Times New Roman"/>
          <w:color w:val="000000"/>
          <w:sz w:val="22"/>
          <w:szCs w:val="22"/>
        </w:rPr>
      </w:pPr>
    </w:p>
    <w:p w14:paraId="0F625E7E" w14:textId="196E9BF9" w:rsidR="009627F2" w:rsidRDefault="009627F2" w:rsidP="009627F2">
      <w:pPr>
        <w:spacing w:before="0" w:after="0"/>
        <w:rPr>
          <w:rFonts w:ascii="Arial" w:hAnsi="Arial" w:cs="Arial"/>
          <w:sz w:val="22"/>
          <w:szCs w:val="22"/>
        </w:rPr>
      </w:pPr>
      <w:r>
        <w:rPr>
          <w:rFonts w:eastAsia="Calibri" w:cs="Times New Roman"/>
          <w:color w:val="000000"/>
          <w:sz w:val="22"/>
          <w:szCs w:val="22"/>
        </w:rPr>
        <w:t xml:space="preserve">1. </w:t>
      </w:r>
      <w:r w:rsidRPr="004C6C20">
        <w:rPr>
          <w:rFonts w:eastAsia="Calibri" w:cs="Times New Roman"/>
          <w:color w:val="000000"/>
          <w:sz w:val="22"/>
          <w:szCs w:val="22"/>
        </w:rPr>
        <w:t xml:space="preserve">Los ingresos obtenidos al cierre </w:t>
      </w:r>
      <w:proofErr w:type="gramStart"/>
      <w:r w:rsidRPr="004C6C20">
        <w:rPr>
          <w:rFonts w:eastAsia="Calibri" w:cs="Times New Roman"/>
          <w:color w:val="000000"/>
          <w:sz w:val="22"/>
          <w:szCs w:val="22"/>
        </w:rPr>
        <w:t xml:space="preserve">del </w:t>
      </w:r>
      <w:r w:rsidR="00B5409A">
        <w:rPr>
          <w:rFonts w:eastAsia="Calibri" w:cs="Times New Roman"/>
          <w:color w:val="000000"/>
          <w:sz w:val="22"/>
          <w:szCs w:val="22"/>
        </w:rPr>
        <w:t xml:space="preserve"> ejercicio</w:t>
      </w:r>
      <w:proofErr w:type="gramEnd"/>
      <w:r w:rsidR="00B5409A">
        <w:rPr>
          <w:rFonts w:eastAsia="Calibri" w:cs="Times New Roman"/>
          <w:color w:val="000000"/>
          <w:sz w:val="22"/>
          <w:szCs w:val="22"/>
        </w:rPr>
        <w:t xml:space="preserve"> fiscal</w:t>
      </w:r>
      <w:r w:rsidRPr="004C6C20">
        <w:rPr>
          <w:rFonts w:eastAsia="Calibri" w:cs="Times New Roman"/>
          <w:color w:val="000000"/>
          <w:sz w:val="22"/>
          <w:szCs w:val="22"/>
        </w:rPr>
        <w:t xml:space="preserve"> que se informa, ascienden a </w:t>
      </w:r>
      <w:r>
        <w:rPr>
          <w:rFonts w:eastAsia="Calibri" w:cs="Times New Roman"/>
          <w:color w:val="000000"/>
          <w:sz w:val="22"/>
          <w:szCs w:val="22"/>
        </w:rPr>
        <w:t>89</w:t>
      </w:r>
      <w:r w:rsidRPr="004C6C20">
        <w:rPr>
          <w:rFonts w:eastAsia="Calibri" w:cs="Times New Roman"/>
          <w:color w:val="000000"/>
          <w:sz w:val="22"/>
          <w:szCs w:val="22"/>
        </w:rPr>
        <w:t xml:space="preserve"> mil </w:t>
      </w:r>
      <w:r w:rsidR="009A3967">
        <w:rPr>
          <w:rFonts w:eastAsia="Calibri" w:cs="Times New Roman"/>
          <w:color w:val="000000"/>
          <w:sz w:val="22"/>
          <w:szCs w:val="22"/>
        </w:rPr>
        <w:t>322</w:t>
      </w:r>
      <w:r w:rsidRPr="004C6C20">
        <w:rPr>
          <w:rFonts w:eastAsia="Calibri" w:cs="Times New Roman"/>
          <w:color w:val="000000"/>
          <w:sz w:val="22"/>
          <w:szCs w:val="22"/>
        </w:rPr>
        <w:t xml:space="preserve"> millones </w:t>
      </w:r>
      <w:r w:rsidR="009A3967">
        <w:rPr>
          <w:rFonts w:eastAsia="Calibri" w:cs="Times New Roman"/>
          <w:color w:val="000000"/>
          <w:sz w:val="22"/>
          <w:szCs w:val="22"/>
        </w:rPr>
        <w:t>333</w:t>
      </w:r>
      <w:r w:rsidRPr="004C6C20">
        <w:rPr>
          <w:rFonts w:eastAsia="Calibri" w:cs="Times New Roman"/>
          <w:color w:val="000000"/>
          <w:sz w:val="22"/>
          <w:szCs w:val="22"/>
        </w:rPr>
        <w:t xml:space="preserve"> mil </w:t>
      </w:r>
      <w:r w:rsidR="009A3967">
        <w:rPr>
          <w:rFonts w:eastAsia="Calibri" w:cs="Times New Roman"/>
          <w:color w:val="000000"/>
          <w:sz w:val="22"/>
          <w:szCs w:val="22"/>
        </w:rPr>
        <w:t>632</w:t>
      </w:r>
      <w:r w:rsidRPr="004C6C20">
        <w:rPr>
          <w:rFonts w:eastAsia="Calibri" w:cs="Times New Roman"/>
          <w:color w:val="000000"/>
          <w:sz w:val="22"/>
          <w:szCs w:val="22"/>
        </w:rPr>
        <w:t xml:space="preserve"> pesos, que se integran principalmente por participaciones, aportaciones, transferencias, asignaciones, subsidios y otras ayudas que representan el </w:t>
      </w:r>
      <w:r w:rsidR="009A3967">
        <w:rPr>
          <w:rFonts w:eastAsia="Calibri" w:cs="Times New Roman"/>
          <w:color w:val="000000"/>
          <w:sz w:val="22"/>
          <w:szCs w:val="22"/>
        </w:rPr>
        <w:t>92.21</w:t>
      </w:r>
      <w:r>
        <w:rPr>
          <w:rFonts w:eastAsia="Calibri" w:cs="Times New Roman"/>
          <w:color w:val="000000"/>
          <w:sz w:val="22"/>
          <w:szCs w:val="22"/>
        </w:rPr>
        <w:t>%</w:t>
      </w:r>
      <w:r w:rsidRPr="004C6C20">
        <w:rPr>
          <w:rFonts w:eastAsia="Calibri" w:cs="Times New Roman"/>
          <w:color w:val="000000"/>
          <w:sz w:val="22"/>
          <w:szCs w:val="22"/>
        </w:rPr>
        <w:t xml:space="preserve"> </w:t>
      </w:r>
      <w:r w:rsidRPr="004C6C20">
        <w:rPr>
          <w:rFonts w:eastAsia="Calibri" w:cs="Times New Roman"/>
          <w:sz w:val="22"/>
          <w:szCs w:val="22"/>
        </w:rPr>
        <w:t xml:space="preserve">así como ingresos de la gestión que representan el </w:t>
      </w:r>
      <w:r>
        <w:rPr>
          <w:rFonts w:eastAsia="Calibri" w:cs="Times New Roman"/>
          <w:sz w:val="22"/>
          <w:szCs w:val="22"/>
        </w:rPr>
        <w:t>7.7</w:t>
      </w:r>
      <w:r w:rsidR="009A3967">
        <w:rPr>
          <w:rFonts w:eastAsia="Calibri" w:cs="Times New Roman"/>
          <w:sz w:val="22"/>
          <w:szCs w:val="22"/>
        </w:rPr>
        <w:t>6</w:t>
      </w:r>
      <w:r w:rsidRPr="004C6C20">
        <w:rPr>
          <w:rFonts w:eastAsia="Calibri" w:cs="Times New Roman"/>
          <w:sz w:val="22"/>
          <w:szCs w:val="22"/>
        </w:rPr>
        <w:t>% así mismo, otros ingresos y beneficios con un porcentaje de 0.0</w:t>
      </w:r>
      <w:r>
        <w:rPr>
          <w:rFonts w:eastAsia="Calibri" w:cs="Times New Roman"/>
          <w:sz w:val="22"/>
          <w:szCs w:val="22"/>
        </w:rPr>
        <w:t>3</w:t>
      </w:r>
      <w:r w:rsidRPr="004C6C20">
        <w:rPr>
          <w:rFonts w:eastAsia="Calibri" w:cs="Times New Roman"/>
          <w:sz w:val="22"/>
          <w:szCs w:val="22"/>
        </w:rPr>
        <w:t>%</w:t>
      </w:r>
      <w:r>
        <w:rPr>
          <w:rFonts w:eastAsia="Calibri" w:cs="Times New Roman"/>
          <w:sz w:val="22"/>
          <w:szCs w:val="22"/>
        </w:rPr>
        <w:t xml:space="preserve">, </w:t>
      </w:r>
      <w:r w:rsidRPr="00A11EAF">
        <w:rPr>
          <w:rFonts w:eastAsia="Calibri" w:cs="Times New Roman"/>
          <w:sz w:val="22"/>
          <w:szCs w:val="22"/>
        </w:rPr>
        <w:t>como se detalla a continuación:</w:t>
      </w:r>
      <w:r w:rsidRPr="00A11EAF">
        <w:rPr>
          <w:rFonts w:ascii="Arial" w:hAnsi="Arial" w:cs="Arial"/>
          <w:sz w:val="22"/>
          <w:szCs w:val="22"/>
        </w:rPr>
        <w:t xml:space="preserve"> </w:t>
      </w:r>
    </w:p>
    <w:p w14:paraId="4BCFB2DB" w14:textId="77777777" w:rsidR="009627F2" w:rsidRPr="00A11EAF" w:rsidRDefault="009627F2" w:rsidP="009627F2">
      <w:pPr>
        <w:spacing w:before="0" w:after="0"/>
        <w:rPr>
          <w:rFonts w:ascii="Arial" w:eastAsia="Times New Roman" w:hAnsi="Arial" w:cs="Arial"/>
          <w:color w:val="000000"/>
          <w:sz w:val="22"/>
          <w:szCs w:val="22"/>
          <w:lang w:eastAsia="es-MX"/>
        </w:rPr>
      </w:pPr>
    </w:p>
    <w:p w14:paraId="7A0D6667" w14:textId="1202CB81" w:rsidR="009627F2" w:rsidRPr="00A11EAF" w:rsidRDefault="009A3967" w:rsidP="009627F2">
      <w:pPr>
        <w:spacing w:before="0" w:after="0"/>
        <w:jc w:val="center"/>
        <w:rPr>
          <w:rFonts w:eastAsia="Calibri" w:cs="Times New Roman"/>
          <w:b/>
          <w:color w:val="833C0B"/>
          <w:sz w:val="22"/>
          <w:szCs w:val="22"/>
        </w:rPr>
      </w:pPr>
      <w:r w:rsidRPr="009A3967">
        <w:rPr>
          <w:noProof/>
        </w:rPr>
        <w:drawing>
          <wp:inline distT="0" distB="0" distL="0" distR="0" wp14:anchorId="73774C46" wp14:editId="3D4B3997">
            <wp:extent cx="6351270" cy="1153160"/>
            <wp:effectExtent l="0" t="0" r="0" b="889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6351270" cy="1153160"/>
                    </a:xfrm>
                    <a:prstGeom prst="rect">
                      <a:avLst/>
                    </a:prstGeom>
                    <a:noFill/>
                    <a:ln>
                      <a:noFill/>
                    </a:ln>
                  </pic:spPr>
                </pic:pic>
              </a:graphicData>
            </a:graphic>
          </wp:inline>
        </w:drawing>
      </w:r>
    </w:p>
    <w:p w14:paraId="6F1E7E5E" w14:textId="77777777" w:rsidR="009627F2" w:rsidRDefault="009627F2" w:rsidP="009627F2">
      <w:pPr>
        <w:rPr>
          <w:rFonts w:eastAsia="Calibri" w:cs="Times New Roman"/>
          <w:color w:val="000000"/>
          <w:sz w:val="22"/>
          <w:szCs w:val="22"/>
        </w:rPr>
      </w:pPr>
    </w:p>
    <w:p w14:paraId="7FE2CD36" w14:textId="77777777" w:rsidR="009627F2" w:rsidRPr="00DF0B25" w:rsidRDefault="009627F2" w:rsidP="009627F2">
      <w:r w:rsidRPr="004C6C5C">
        <w:rPr>
          <w:rFonts w:eastAsia="Calibri" w:cs="Times New Roman"/>
          <w:sz w:val="22"/>
          <w:szCs w:val="22"/>
        </w:rPr>
        <w:lastRenderedPageBreak/>
        <w:t xml:space="preserve">En relación </w:t>
      </w:r>
      <w:r>
        <w:rPr>
          <w:rFonts w:eastAsia="Calibri" w:cs="Times New Roman"/>
          <w:sz w:val="22"/>
          <w:szCs w:val="22"/>
        </w:rPr>
        <w:t>con</w:t>
      </w:r>
      <w:r w:rsidRPr="004C6C5C">
        <w:rPr>
          <w:rFonts w:eastAsia="Calibri" w:cs="Times New Roman"/>
          <w:sz w:val="22"/>
          <w:szCs w:val="22"/>
        </w:rPr>
        <w:t xml:space="preserve"> los ingresos </w:t>
      </w:r>
      <w:r>
        <w:rPr>
          <w:rFonts w:eastAsia="Calibri" w:cs="Times New Roman"/>
          <w:sz w:val="22"/>
          <w:szCs w:val="22"/>
        </w:rPr>
        <w:t>obtenidos</w:t>
      </w:r>
      <w:r w:rsidRPr="004C6C5C">
        <w:rPr>
          <w:rFonts w:eastAsia="Calibri" w:cs="Times New Roman"/>
          <w:sz w:val="22"/>
          <w:szCs w:val="22"/>
        </w:rPr>
        <w:t xml:space="preserve">, se encuentra en forma específica un análisis por concepto, en </w:t>
      </w:r>
      <w:r>
        <w:rPr>
          <w:rFonts w:eastAsia="Calibri" w:cs="Times New Roman"/>
          <w:sz w:val="22"/>
          <w:szCs w:val="22"/>
        </w:rPr>
        <w:t xml:space="preserve">el </w:t>
      </w:r>
      <w:r w:rsidRPr="004C6C5C">
        <w:rPr>
          <w:rFonts w:eastAsia="Calibri" w:cs="Times New Roman"/>
          <w:sz w:val="22"/>
          <w:szCs w:val="22"/>
        </w:rPr>
        <w:t xml:space="preserve">apartado </w:t>
      </w:r>
      <w:r w:rsidRPr="004C6C5C">
        <w:rPr>
          <w:b/>
          <w:bCs/>
        </w:rPr>
        <w:t>II.1.c ANALISIS DE INGRESOS</w:t>
      </w:r>
      <w:r>
        <w:rPr>
          <w:b/>
          <w:bCs/>
        </w:rPr>
        <w:t xml:space="preserve">, </w:t>
      </w:r>
      <w:r>
        <w:t>por lo que en este apartado se informa de manera general</w:t>
      </w:r>
    </w:p>
    <w:p w14:paraId="3AE79491" w14:textId="77777777" w:rsidR="009627F2" w:rsidRDefault="009627F2" w:rsidP="009627F2">
      <w:pPr>
        <w:rPr>
          <w:b/>
          <w:bCs/>
        </w:rPr>
      </w:pPr>
    </w:p>
    <w:p w14:paraId="613B5391" w14:textId="15D03212" w:rsidR="009627F2" w:rsidRDefault="009627F2" w:rsidP="009627F2">
      <w:pPr>
        <w:rPr>
          <w:b/>
          <w:bCs/>
        </w:rPr>
      </w:pPr>
      <w:r>
        <w:rPr>
          <w:b/>
          <w:bCs/>
        </w:rPr>
        <w:t>- INGRESOS DE GESTIÓN</w:t>
      </w:r>
    </w:p>
    <w:p w14:paraId="3C01DA29" w14:textId="725CA8EC" w:rsidR="009627F2" w:rsidRPr="00DF0B25" w:rsidRDefault="009627F2" w:rsidP="009627F2">
      <w:r>
        <w:t>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6 mil 9</w:t>
      </w:r>
      <w:r w:rsidR="009A3967">
        <w:t>3</w:t>
      </w:r>
      <w:r>
        <w:t xml:space="preserve">1 millones </w:t>
      </w:r>
      <w:r w:rsidR="009A3967">
        <w:t>709</w:t>
      </w:r>
      <w:r>
        <w:t xml:space="preserve"> mil </w:t>
      </w:r>
      <w:r w:rsidR="009A3967">
        <w:t>622</w:t>
      </w:r>
      <w:r>
        <w:t xml:space="preserve"> pesos, como sigue:</w:t>
      </w:r>
    </w:p>
    <w:p w14:paraId="2E1B33BB" w14:textId="5E994588" w:rsidR="009627F2" w:rsidRPr="004F0AA5" w:rsidRDefault="009A3967" w:rsidP="009627F2">
      <w:pPr>
        <w:rPr>
          <w:rFonts w:eastAsia="Calibri" w:cs="Times New Roman"/>
          <w:sz w:val="22"/>
          <w:szCs w:val="22"/>
        </w:rPr>
      </w:pPr>
      <w:r w:rsidRPr="009A3967">
        <w:rPr>
          <w:noProof/>
        </w:rPr>
        <w:drawing>
          <wp:inline distT="0" distB="0" distL="0" distR="0" wp14:anchorId="50D0B7C3" wp14:editId="012845EF">
            <wp:extent cx="6351270" cy="1805940"/>
            <wp:effectExtent l="0" t="0" r="0" b="381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6351270" cy="1805940"/>
                    </a:xfrm>
                    <a:prstGeom prst="rect">
                      <a:avLst/>
                    </a:prstGeom>
                    <a:noFill/>
                    <a:ln>
                      <a:noFill/>
                    </a:ln>
                  </pic:spPr>
                </pic:pic>
              </a:graphicData>
            </a:graphic>
          </wp:inline>
        </w:drawing>
      </w:r>
    </w:p>
    <w:p w14:paraId="649C68CB" w14:textId="5FB15284" w:rsidR="009627F2" w:rsidRDefault="009627F2" w:rsidP="009627F2">
      <w:pPr>
        <w:rPr>
          <w:b/>
          <w:bCs/>
        </w:rPr>
      </w:pPr>
      <w:r>
        <w:rPr>
          <w:b/>
          <w:bCs/>
        </w:rPr>
        <w:t>- PARTICIPACIONES, APORTACIONES, CONVENIOS, INCENTIVOS DERIVADOS DE LA COLABORACIÓN FISCAL, FONDOS DISTINTOS DE APORTACIONES, TRANSFERENCIAS, ASIGNACIONES, SUBSIDIOS Y SUBVENCIONES, Y PENSIONES Y JUBILACIONES.</w:t>
      </w:r>
    </w:p>
    <w:p w14:paraId="79A89761" w14:textId="26DF6311" w:rsidR="009627F2" w:rsidRDefault="009627F2" w:rsidP="009627F2">
      <w:r>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t xml:space="preserve">están armonizados en los rubros del </w:t>
      </w:r>
      <w:r>
        <w:lastRenderedPageBreak/>
        <w:t xml:space="preserve">Clasificador por Rubro de Ingresos (CRI), se informan los montos totales obtenidos por </w:t>
      </w:r>
      <w:r w:rsidR="00B55BB4">
        <w:t>8</w:t>
      </w:r>
      <w:r w:rsidR="00D753FB">
        <w:t>2</w:t>
      </w:r>
      <w:r>
        <w:t xml:space="preserve"> mil </w:t>
      </w:r>
      <w:r w:rsidR="009A3967">
        <w:t>360</w:t>
      </w:r>
      <w:r>
        <w:t xml:space="preserve"> millones </w:t>
      </w:r>
      <w:r w:rsidR="009A3967">
        <w:t>837</w:t>
      </w:r>
      <w:r>
        <w:t xml:space="preserve"> mil </w:t>
      </w:r>
      <w:r w:rsidR="009A3967">
        <w:t>763</w:t>
      </w:r>
      <w:r>
        <w:t xml:space="preserve"> pesos, como sigue:</w:t>
      </w:r>
    </w:p>
    <w:p w14:paraId="53C462F1" w14:textId="39FA3754" w:rsidR="009627F2" w:rsidRDefault="009A3967" w:rsidP="009627F2">
      <w:pPr>
        <w:jc w:val="center"/>
      </w:pPr>
      <w:r w:rsidRPr="009A3967">
        <w:rPr>
          <w:noProof/>
        </w:rPr>
        <w:drawing>
          <wp:inline distT="0" distB="0" distL="0" distR="0" wp14:anchorId="4DA905B1" wp14:editId="7B5ED030">
            <wp:extent cx="6351270" cy="97536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210070A8" w14:textId="4030A7D4" w:rsidR="009627F2" w:rsidRDefault="009627F2" w:rsidP="009627F2">
      <w:pPr>
        <w:rPr>
          <w:rFonts w:eastAsia="Calibri" w:cs="Times New Roman"/>
          <w:b/>
          <w:bCs/>
          <w:color w:val="000000"/>
          <w:sz w:val="22"/>
          <w:szCs w:val="22"/>
        </w:rPr>
      </w:pPr>
      <w:r>
        <w:rPr>
          <w:rFonts w:eastAsia="Calibri" w:cs="Times New Roman"/>
          <w:b/>
          <w:bCs/>
          <w:color w:val="000000"/>
          <w:sz w:val="22"/>
          <w:szCs w:val="22"/>
        </w:rPr>
        <w:t>- OTROS INGRESOS Y BENEFICIOS</w:t>
      </w:r>
    </w:p>
    <w:p w14:paraId="28EE9FA5" w14:textId="77777777" w:rsidR="009627F2" w:rsidRDefault="009627F2" w:rsidP="009627F2">
      <w:pPr>
        <w:rPr>
          <w:rFonts w:eastAsia="Calibri" w:cs="Times New Roman"/>
          <w:b/>
          <w:bCs/>
          <w:color w:val="000000"/>
          <w:sz w:val="22"/>
          <w:szCs w:val="22"/>
        </w:rPr>
      </w:pPr>
      <w:r>
        <w:rPr>
          <w:rFonts w:eastAsia="Calibri" w:cs="Times New Roman"/>
          <w:b/>
          <w:bCs/>
          <w:color w:val="000000"/>
          <w:sz w:val="22"/>
          <w:szCs w:val="22"/>
        </w:rPr>
        <w:t>Se compone de los rubros de ingresos financieros, incremento por variación de inventarios, disminución del exceso por pérdida o Deterior u obsolescencia, disminución de excesos de provisiones y de otros ingresos y beneficios varios</w:t>
      </w:r>
      <w:r w:rsidRPr="00C8238F">
        <w:rPr>
          <w:rFonts w:eastAsia="Calibri" w:cs="Times New Roman"/>
          <w:b/>
          <w:bCs/>
          <w:color w:val="000000"/>
          <w:sz w:val="22"/>
          <w:szCs w:val="22"/>
        </w:rPr>
        <w:t xml:space="preserve"> </w:t>
      </w:r>
      <w:r>
        <w:rPr>
          <w:rFonts w:eastAsia="Calibri" w:cs="Times New Roman"/>
          <w:b/>
          <w:bCs/>
          <w:color w:val="000000"/>
          <w:sz w:val="22"/>
          <w:szCs w:val="22"/>
        </w:rPr>
        <w:t>y se informan los montos totales como sigue:</w:t>
      </w:r>
    </w:p>
    <w:p w14:paraId="656F42C6" w14:textId="2AF00DD6" w:rsidR="009627F2" w:rsidRPr="00C8238F" w:rsidRDefault="009A3967" w:rsidP="009627F2">
      <w:pPr>
        <w:jc w:val="center"/>
        <w:rPr>
          <w:rFonts w:eastAsia="Calibri" w:cs="Times New Roman"/>
          <w:b/>
          <w:bCs/>
          <w:color w:val="000000"/>
          <w:sz w:val="22"/>
          <w:szCs w:val="22"/>
        </w:rPr>
      </w:pPr>
      <w:r w:rsidRPr="009A3967">
        <w:rPr>
          <w:noProof/>
        </w:rPr>
        <w:drawing>
          <wp:inline distT="0" distB="0" distL="0" distR="0" wp14:anchorId="1D151751" wp14:editId="0C6A82AC">
            <wp:extent cx="6351270" cy="97536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78618ADB" w14:textId="77777777" w:rsidR="009627F2" w:rsidRDefault="009627F2" w:rsidP="009627F2">
      <w:pPr>
        <w:rPr>
          <w:rFonts w:eastAsia="Calibri" w:cs="Times New Roman"/>
          <w:b/>
          <w:bCs/>
          <w:color w:val="000000"/>
          <w:sz w:val="22"/>
          <w:szCs w:val="22"/>
        </w:rPr>
      </w:pPr>
      <w:r>
        <w:rPr>
          <w:rFonts w:eastAsia="Calibri" w:cs="Times New Roman"/>
          <w:b/>
          <w:bCs/>
          <w:color w:val="000000"/>
          <w:sz w:val="22"/>
          <w:szCs w:val="22"/>
        </w:rPr>
        <w:t>GASTOS Y OTRAS PÉRDIDAS</w:t>
      </w:r>
    </w:p>
    <w:p w14:paraId="5118E719" w14:textId="56B16F27" w:rsidR="009627F2" w:rsidRDefault="009627F2" w:rsidP="009627F2">
      <w:pPr>
        <w:rPr>
          <w:rFonts w:ascii="Arial" w:hAnsi="Arial" w:cs="Arial"/>
          <w:color w:val="000000"/>
          <w:sz w:val="22"/>
          <w:szCs w:val="22"/>
        </w:rPr>
      </w:pPr>
      <w:r>
        <w:rPr>
          <w:rFonts w:eastAsia="Calibri" w:cs="Times New Roman"/>
          <w:color w:val="000000"/>
          <w:sz w:val="22"/>
          <w:szCs w:val="22"/>
        </w:rPr>
        <w:t xml:space="preserve">1. </w:t>
      </w:r>
      <w:r w:rsidRPr="00532DAA">
        <w:rPr>
          <w:rFonts w:eastAsia="Calibri" w:cs="Times New Roman"/>
          <w:color w:val="000000"/>
          <w:sz w:val="22"/>
          <w:szCs w:val="22"/>
        </w:rPr>
        <w:t xml:space="preserve">En lo relativo al gasto y otras pérdidas, se refleja el gasto devengado, en cumplimiento de la normatividad emitida por el Consejo Nacional de Armonización Contable, el cual ascendió a </w:t>
      </w:r>
      <w:r>
        <w:rPr>
          <w:rFonts w:eastAsia="Calibri" w:cs="Times New Roman"/>
          <w:color w:val="000000"/>
          <w:sz w:val="22"/>
          <w:szCs w:val="22"/>
        </w:rPr>
        <w:t>8</w:t>
      </w:r>
      <w:r w:rsidR="00A23D81">
        <w:rPr>
          <w:rFonts w:eastAsia="Calibri" w:cs="Times New Roman"/>
          <w:color w:val="000000"/>
          <w:sz w:val="22"/>
          <w:szCs w:val="22"/>
        </w:rPr>
        <w:t>6</w:t>
      </w:r>
      <w:r w:rsidRPr="00570A02">
        <w:rPr>
          <w:rFonts w:eastAsia="Calibri" w:cs="Times New Roman"/>
          <w:color w:val="000000"/>
          <w:sz w:val="22"/>
          <w:szCs w:val="22"/>
        </w:rPr>
        <w:t xml:space="preserve"> mil </w:t>
      </w:r>
      <w:r w:rsidR="00F5069E">
        <w:rPr>
          <w:rFonts w:eastAsia="Calibri" w:cs="Times New Roman"/>
          <w:color w:val="000000"/>
          <w:sz w:val="22"/>
          <w:szCs w:val="22"/>
        </w:rPr>
        <w:t>703</w:t>
      </w:r>
      <w:r w:rsidRPr="00570A02">
        <w:rPr>
          <w:rFonts w:eastAsia="Calibri" w:cs="Times New Roman"/>
          <w:color w:val="000000"/>
          <w:sz w:val="22"/>
          <w:szCs w:val="22"/>
        </w:rPr>
        <w:t xml:space="preserve"> millones </w:t>
      </w:r>
      <w:r w:rsidR="00F5069E">
        <w:rPr>
          <w:rFonts w:eastAsia="Calibri" w:cs="Times New Roman"/>
          <w:color w:val="000000"/>
          <w:sz w:val="22"/>
          <w:szCs w:val="22"/>
        </w:rPr>
        <w:t>479</w:t>
      </w:r>
      <w:r w:rsidRPr="00570A02">
        <w:rPr>
          <w:rFonts w:eastAsia="Calibri" w:cs="Times New Roman"/>
          <w:color w:val="000000"/>
          <w:sz w:val="22"/>
          <w:szCs w:val="22"/>
        </w:rPr>
        <w:t xml:space="preserve"> mil </w:t>
      </w:r>
      <w:r w:rsidR="00F5069E">
        <w:rPr>
          <w:rFonts w:eastAsia="Calibri" w:cs="Times New Roman"/>
          <w:color w:val="000000"/>
          <w:sz w:val="22"/>
          <w:szCs w:val="22"/>
        </w:rPr>
        <w:t>144</w:t>
      </w:r>
      <w:r w:rsidRPr="00570A02">
        <w:rPr>
          <w:rFonts w:eastAsia="Calibri" w:cs="Times New Roman"/>
          <w:color w:val="000000"/>
          <w:sz w:val="22"/>
          <w:szCs w:val="22"/>
        </w:rPr>
        <w:t xml:space="preserve"> pesos</w:t>
      </w:r>
      <w:r w:rsidRPr="00532DAA">
        <w:rPr>
          <w:rFonts w:eastAsia="Calibri" w:cs="Times New Roman"/>
          <w:color w:val="000000"/>
          <w:sz w:val="22"/>
          <w:szCs w:val="22"/>
        </w:rPr>
        <w:t xml:space="preserve"> como</w:t>
      </w:r>
      <w:r>
        <w:rPr>
          <w:rFonts w:eastAsia="Calibri" w:cs="Times New Roman"/>
          <w:color w:val="000000"/>
          <w:sz w:val="22"/>
          <w:szCs w:val="22"/>
        </w:rPr>
        <w:t xml:space="preserve"> </w:t>
      </w:r>
      <w:r w:rsidRPr="00532DAA">
        <w:rPr>
          <w:rFonts w:eastAsia="Calibri" w:cs="Times New Roman"/>
          <w:color w:val="000000"/>
          <w:sz w:val="22"/>
          <w:szCs w:val="22"/>
        </w:rPr>
        <w:t>se detalla</w:t>
      </w:r>
      <w:r>
        <w:rPr>
          <w:rFonts w:eastAsia="Calibri" w:cs="Times New Roman"/>
          <w:color w:val="000000"/>
          <w:sz w:val="22"/>
          <w:szCs w:val="22"/>
        </w:rPr>
        <w:t xml:space="preserve"> enseguida</w:t>
      </w:r>
      <w:r w:rsidRPr="00532DAA">
        <w:rPr>
          <w:rFonts w:eastAsia="Calibri" w:cs="Times New Roman"/>
          <w:color w:val="000000"/>
          <w:sz w:val="22"/>
          <w:szCs w:val="22"/>
        </w:rPr>
        <w:t>:</w:t>
      </w:r>
      <w:r w:rsidRPr="00532DAA">
        <w:rPr>
          <w:rFonts w:ascii="Arial" w:hAnsi="Arial" w:cs="Arial"/>
          <w:color w:val="000000"/>
          <w:sz w:val="22"/>
          <w:szCs w:val="22"/>
        </w:rPr>
        <w:t xml:space="preserve"> </w:t>
      </w:r>
    </w:p>
    <w:p w14:paraId="43668785" w14:textId="06BDEA24" w:rsidR="009627F2" w:rsidRPr="00075D38" w:rsidRDefault="00F5069E" w:rsidP="009627F2">
      <w:pPr>
        <w:rPr>
          <w:rFonts w:eastAsia="Calibri" w:cs="Times New Roman"/>
          <w:color w:val="000000"/>
          <w:sz w:val="22"/>
          <w:szCs w:val="22"/>
        </w:rPr>
      </w:pPr>
      <w:r w:rsidRPr="00F5069E">
        <w:rPr>
          <w:noProof/>
        </w:rPr>
        <w:drawing>
          <wp:inline distT="0" distB="0" distL="0" distR="0" wp14:anchorId="4BE7233A" wp14:editId="122DCB04">
            <wp:extent cx="6351270" cy="1958975"/>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6351270" cy="1958975"/>
                    </a:xfrm>
                    <a:prstGeom prst="rect">
                      <a:avLst/>
                    </a:prstGeom>
                    <a:noFill/>
                    <a:ln>
                      <a:noFill/>
                    </a:ln>
                  </pic:spPr>
                </pic:pic>
              </a:graphicData>
            </a:graphic>
          </wp:inline>
        </w:drawing>
      </w:r>
    </w:p>
    <w:p w14:paraId="4F69C033" w14:textId="77777777" w:rsidR="009627F2" w:rsidRPr="005C4CDB" w:rsidRDefault="009627F2" w:rsidP="009627F2">
      <w:pPr>
        <w:spacing w:before="120" w:after="120"/>
        <w:rPr>
          <w:rFonts w:eastAsia="Calibri" w:cs="Times New Roman"/>
          <w:sz w:val="22"/>
          <w:szCs w:val="22"/>
        </w:rPr>
      </w:pPr>
      <w:r w:rsidRPr="00532DAA">
        <w:rPr>
          <w:rFonts w:eastAsia="Calibri" w:cs="Times New Roman"/>
          <w:sz w:val="22"/>
          <w:szCs w:val="22"/>
        </w:rPr>
        <w:lastRenderedPageBreak/>
        <w:t>A continuación, se explican aquellas cuentas del gasto que en lo individual representan el 10% o más del gasto total, siendo las más representativas las siguientes:</w:t>
      </w:r>
    </w:p>
    <w:p w14:paraId="26FF37ED" w14:textId="7484BF95" w:rsidR="009627F2" w:rsidRDefault="009627F2" w:rsidP="009627F2">
      <w:pPr>
        <w:spacing w:before="120" w:after="120"/>
        <w:rPr>
          <w:rFonts w:eastAsia="Calibri" w:cs="Times New Roman"/>
          <w:sz w:val="22"/>
          <w:szCs w:val="22"/>
        </w:rPr>
      </w:pPr>
      <w:r w:rsidRPr="00532DAA">
        <w:rPr>
          <w:rFonts w:eastAsia="Calibri" w:cs="Times New Roman"/>
          <w:b/>
          <w:sz w:val="22"/>
          <w:szCs w:val="22"/>
        </w:rPr>
        <w:t>Servicios Personales</w:t>
      </w:r>
      <w:r>
        <w:rPr>
          <w:rFonts w:eastAsia="Calibri" w:cs="Times New Roman"/>
          <w:sz w:val="22"/>
          <w:szCs w:val="22"/>
        </w:rPr>
        <w:t xml:space="preserve">: Representa el </w:t>
      </w:r>
      <w:r w:rsidR="00456696">
        <w:rPr>
          <w:rFonts w:eastAsia="Calibri" w:cs="Times New Roman"/>
          <w:sz w:val="22"/>
          <w:szCs w:val="22"/>
        </w:rPr>
        <w:t>39.5</w:t>
      </w:r>
      <w:r w:rsidR="00F5069E">
        <w:rPr>
          <w:rFonts w:eastAsia="Calibri" w:cs="Times New Roman"/>
          <w:sz w:val="22"/>
          <w:szCs w:val="22"/>
        </w:rPr>
        <w:t>6</w:t>
      </w:r>
      <w:r w:rsidRPr="00532DAA">
        <w:rPr>
          <w:rFonts w:eastAsia="Calibri" w:cs="Times New Roman"/>
          <w:sz w:val="22"/>
          <w:szCs w:val="22"/>
        </w:rPr>
        <w:t>%</w:t>
      </w:r>
      <w:r>
        <w:rPr>
          <w:rFonts w:eastAsia="Calibri" w:cs="Times New Roman"/>
          <w:sz w:val="22"/>
          <w:szCs w:val="22"/>
        </w:rPr>
        <w:t xml:space="preserve"> </w:t>
      </w:r>
      <w:r w:rsidRPr="00532DAA">
        <w:rPr>
          <w:rFonts w:eastAsia="Calibri" w:cs="Times New Roman"/>
          <w:sz w:val="22"/>
          <w:szCs w:val="22"/>
        </w:rPr>
        <w:t xml:space="preserve">y agrupa las remuneraciones del </w:t>
      </w:r>
      <w:r w:rsidRPr="00532DAA">
        <w:rPr>
          <w:rFonts w:eastAsia="Calibri" w:cs="Times New Roman"/>
          <w:bCs/>
          <w:sz w:val="22"/>
          <w:szCs w:val="22"/>
        </w:rPr>
        <w:t>personal</w:t>
      </w:r>
      <w:r w:rsidRPr="00532DAA">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14:paraId="281138F2" w14:textId="34423984" w:rsidR="009627F2" w:rsidRPr="005C4CDB" w:rsidRDefault="009627F2" w:rsidP="009627F2">
      <w:pPr>
        <w:spacing w:before="120" w:after="120"/>
        <w:rPr>
          <w:rFonts w:eastAsia="Calibri" w:cs="Times New Roman"/>
          <w:sz w:val="22"/>
          <w:szCs w:val="22"/>
        </w:rPr>
      </w:pPr>
      <w:r w:rsidRPr="00532DAA">
        <w:rPr>
          <w:rFonts w:eastAsia="Calibri" w:cs="Times New Roman"/>
          <w:b/>
          <w:sz w:val="22"/>
          <w:szCs w:val="22"/>
        </w:rPr>
        <w:t xml:space="preserve">Transferencias, </w:t>
      </w:r>
      <w:r>
        <w:rPr>
          <w:rFonts w:eastAsia="Calibri" w:cs="Times New Roman"/>
          <w:b/>
          <w:sz w:val="22"/>
          <w:szCs w:val="22"/>
        </w:rPr>
        <w:t>A</w:t>
      </w:r>
      <w:r w:rsidRPr="00532DAA">
        <w:rPr>
          <w:rFonts w:eastAsia="Calibri" w:cs="Times New Roman"/>
          <w:b/>
          <w:sz w:val="22"/>
          <w:szCs w:val="22"/>
        </w:rPr>
        <w:t xml:space="preserve">signaciones, </w:t>
      </w:r>
      <w:r>
        <w:rPr>
          <w:rFonts w:eastAsia="Calibri" w:cs="Times New Roman"/>
          <w:b/>
          <w:sz w:val="22"/>
          <w:szCs w:val="22"/>
        </w:rPr>
        <w:t>S</w:t>
      </w:r>
      <w:r w:rsidRPr="00532DAA">
        <w:rPr>
          <w:rFonts w:eastAsia="Calibri" w:cs="Times New Roman"/>
          <w:b/>
          <w:sz w:val="22"/>
          <w:szCs w:val="22"/>
        </w:rPr>
        <w:t xml:space="preserve">ubsidios y </w:t>
      </w:r>
      <w:r>
        <w:rPr>
          <w:rFonts w:eastAsia="Calibri" w:cs="Times New Roman"/>
          <w:b/>
          <w:sz w:val="22"/>
          <w:szCs w:val="22"/>
        </w:rPr>
        <w:t>O</w:t>
      </w:r>
      <w:r w:rsidRPr="00532DAA">
        <w:rPr>
          <w:rFonts w:eastAsia="Calibri" w:cs="Times New Roman"/>
          <w:b/>
          <w:sz w:val="22"/>
          <w:szCs w:val="22"/>
        </w:rPr>
        <w:t xml:space="preserve">tras </w:t>
      </w:r>
      <w:r>
        <w:rPr>
          <w:rFonts w:eastAsia="Calibri" w:cs="Times New Roman"/>
          <w:b/>
          <w:sz w:val="22"/>
          <w:szCs w:val="22"/>
        </w:rPr>
        <w:t>A</w:t>
      </w:r>
      <w:r w:rsidRPr="00532DAA">
        <w:rPr>
          <w:rFonts w:eastAsia="Calibri" w:cs="Times New Roman"/>
          <w:b/>
          <w:sz w:val="22"/>
          <w:szCs w:val="22"/>
        </w:rPr>
        <w:t>yudas</w:t>
      </w:r>
      <w:r w:rsidRPr="0003700F">
        <w:rPr>
          <w:rFonts w:eastAsia="Calibri" w:cs="Times New Roman"/>
          <w:b/>
          <w:sz w:val="22"/>
          <w:szCs w:val="22"/>
        </w:rPr>
        <w:t>:</w:t>
      </w:r>
      <w:r w:rsidRPr="0003700F">
        <w:rPr>
          <w:rFonts w:eastAsia="Calibri" w:cs="Times New Roman"/>
          <w:sz w:val="22"/>
          <w:szCs w:val="22"/>
        </w:rPr>
        <w:t xml:space="preserve"> El </w:t>
      </w:r>
      <w:r w:rsidR="003E12FF">
        <w:rPr>
          <w:rFonts w:eastAsia="Calibri" w:cs="Times New Roman"/>
          <w:sz w:val="22"/>
          <w:szCs w:val="22"/>
        </w:rPr>
        <w:t>31.9</w:t>
      </w:r>
      <w:r w:rsidR="00F5069E">
        <w:rPr>
          <w:rFonts w:eastAsia="Calibri" w:cs="Times New Roman"/>
          <w:sz w:val="22"/>
          <w:szCs w:val="22"/>
        </w:rPr>
        <w:t>5</w:t>
      </w:r>
      <w:r w:rsidRPr="0003700F">
        <w:rPr>
          <w:rFonts w:eastAsia="Calibri" w:cs="Times New Roman"/>
          <w:sz w:val="22"/>
          <w:szCs w:val="22"/>
        </w:rPr>
        <w:t xml:space="preserve">% </w:t>
      </w:r>
      <w:r w:rsidRPr="005725F8">
        <w:rPr>
          <w:rFonts w:eastAsia="Calibri" w:cs="Times New Roman"/>
          <w:sz w:val="22"/>
          <w:szCs w:val="22"/>
        </w:rPr>
        <w:t>del</w:t>
      </w:r>
      <w:r w:rsidRPr="00532DAA">
        <w:rPr>
          <w:rFonts w:eastAsia="Calibri" w:cs="Times New Roman"/>
          <w:sz w:val="22"/>
          <w:szCs w:val="22"/>
        </w:rPr>
        <w:t xml:space="preserve"> gasto </w:t>
      </w:r>
      <w:r>
        <w:rPr>
          <w:rFonts w:eastAsia="Calibri" w:cs="Times New Roman"/>
          <w:sz w:val="22"/>
          <w:szCs w:val="22"/>
        </w:rPr>
        <w:t xml:space="preserve">que </w:t>
      </w:r>
      <w:r w:rsidRPr="00532DAA">
        <w:rPr>
          <w:rFonts w:eastAsia="Calibri" w:cs="Times New Roman"/>
          <w:sz w:val="22"/>
          <w:szCs w:val="22"/>
        </w:rPr>
        <w:t>se destinó, a los entes públicos contenidos en el Presupuesto de Egresos con el objeto de sufragar gastos inherentes a sus atribuciones.</w:t>
      </w:r>
    </w:p>
    <w:p w14:paraId="37C25815" w14:textId="34FAFBF7" w:rsidR="009627F2" w:rsidRDefault="009627F2" w:rsidP="009627F2">
      <w:pPr>
        <w:spacing w:before="0" w:after="0"/>
        <w:rPr>
          <w:rFonts w:eastAsia="Calibri" w:cs="Times New Roman"/>
          <w:sz w:val="22"/>
          <w:szCs w:val="22"/>
        </w:rPr>
      </w:pPr>
      <w:r w:rsidRPr="00532DAA">
        <w:rPr>
          <w:rFonts w:eastAsia="Calibri" w:cs="Times New Roman"/>
          <w:b/>
          <w:sz w:val="22"/>
          <w:szCs w:val="22"/>
        </w:rPr>
        <w:t>Participaciones y Aportaciones</w:t>
      </w:r>
      <w:r w:rsidRPr="00532DAA">
        <w:rPr>
          <w:rFonts w:eastAsia="Calibri" w:cs="Times New Roman"/>
          <w:sz w:val="22"/>
          <w:szCs w:val="22"/>
        </w:rPr>
        <w:t>: Las erogaciones con cargo a este apartado</w:t>
      </w:r>
      <w:r>
        <w:rPr>
          <w:rFonts w:eastAsia="Calibri" w:cs="Times New Roman"/>
          <w:sz w:val="22"/>
          <w:szCs w:val="22"/>
        </w:rPr>
        <w:t>,</w:t>
      </w:r>
      <w:r w:rsidRPr="00532DAA">
        <w:rPr>
          <w:rFonts w:eastAsia="Calibri" w:cs="Times New Roman"/>
          <w:sz w:val="22"/>
          <w:szCs w:val="22"/>
        </w:rPr>
        <w:t xml:space="preserve"> representan el </w:t>
      </w:r>
      <w:r w:rsidR="003E12FF">
        <w:rPr>
          <w:rFonts w:eastAsia="Calibri" w:cs="Times New Roman"/>
          <w:sz w:val="22"/>
          <w:szCs w:val="22"/>
        </w:rPr>
        <w:t>1</w:t>
      </w:r>
      <w:r w:rsidR="00F5069E">
        <w:rPr>
          <w:rFonts w:eastAsia="Calibri" w:cs="Times New Roman"/>
          <w:sz w:val="22"/>
          <w:szCs w:val="22"/>
        </w:rPr>
        <w:t>8.01</w:t>
      </w:r>
      <w:r w:rsidRPr="00532DAA">
        <w:rPr>
          <w:rFonts w:eastAsia="Calibri" w:cs="Times New Roman"/>
          <w:sz w:val="22"/>
          <w:szCs w:val="22"/>
        </w:rPr>
        <w:t>%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61BD9CCD" w14:textId="40E0FB63" w:rsidR="00933739" w:rsidRDefault="00933739" w:rsidP="00B82D70">
      <w:pPr>
        <w:spacing w:before="0" w:after="0"/>
        <w:jc w:val="center"/>
        <w:rPr>
          <w:rFonts w:eastAsia="Calibri" w:cs="Times New Roman"/>
          <w:b/>
          <w:sz w:val="28"/>
          <w:szCs w:val="28"/>
        </w:rPr>
      </w:pPr>
    </w:p>
    <w:p w14:paraId="1218E3D4" w14:textId="5FE8EDD7" w:rsidR="009627F2" w:rsidRDefault="009627F2" w:rsidP="00B82D70">
      <w:pPr>
        <w:spacing w:before="0" w:after="0"/>
        <w:jc w:val="center"/>
        <w:rPr>
          <w:rFonts w:eastAsia="Calibri" w:cs="Times New Roman"/>
          <w:b/>
          <w:sz w:val="28"/>
          <w:szCs w:val="28"/>
        </w:rPr>
      </w:pPr>
    </w:p>
    <w:p w14:paraId="0E71DB41" w14:textId="77777777" w:rsidR="003E12FF" w:rsidRDefault="003E12FF" w:rsidP="00B82D70">
      <w:pPr>
        <w:spacing w:before="0" w:after="0"/>
        <w:jc w:val="center"/>
        <w:rPr>
          <w:rFonts w:eastAsia="Calibri" w:cs="Times New Roman"/>
          <w:b/>
          <w:sz w:val="28"/>
          <w:szCs w:val="28"/>
        </w:rPr>
      </w:pPr>
    </w:p>
    <w:p w14:paraId="1230E29C" w14:textId="77777777" w:rsidR="003E12FF" w:rsidRDefault="003E12FF" w:rsidP="00B82D70">
      <w:pPr>
        <w:spacing w:before="0" w:after="0"/>
        <w:jc w:val="center"/>
        <w:rPr>
          <w:rFonts w:eastAsia="Calibri" w:cs="Times New Roman"/>
          <w:b/>
          <w:sz w:val="28"/>
          <w:szCs w:val="28"/>
        </w:rPr>
      </w:pPr>
    </w:p>
    <w:p w14:paraId="4E44A647" w14:textId="77777777" w:rsidR="003E12FF" w:rsidRDefault="003E12FF" w:rsidP="00B82D70">
      <w:pPr>
        <w:spacing w:before="0" w:after="0"/>
        <w:jc w:val="center"/>
        <w:rPr>
          <w:rFonts w:eastAsia="Calibri" w:cs="Times New Roman"/>
          <w:b/>
          <w:sz w:val="28"/>
          <w:szCs w:val="28"/>
        </w:rPr>
      </w:pPr>
    </w:p>
    <w:p w14:paraId="6F47AE23" w14:textId="77777777" w:rsidR="003E12FF" w:rsidRDefault="003E12FF" w:rsidP="00B82D70">
      <w:pPr>
        <w:spacing w:before="0" w:after="0"/>
        <w:jc w:val="center"/>
        <w:rPr>
          <w:rFonts w:eastAsia="Calibri" w:cs="Times New Roman"/>
          <w:b/>
          <w:sz w:val="28"/>
          <w:szCs w:val="28"/>
        </w:rPr>
      </w:pPr>
    </w:p>
    <w:p w14:paraId="408906BA" w14:textId="77777777" w:rsidR="003E12FF" w:rsidRDefault="003E12FF" w:rsidP="00B82D70">
      <w:pPr>
        <w:spacing w:before="0" w:after="0"/>
        <w:jc w:val="center"/>
        <w:rPr>
          <w:rFonts w:eastAsia="Calibri" w:cs="Times New Roman"/>
          <w:b/>
          <w:sz w:val="28"/>
          <w:szCs w:val="28"/>
        </w:rPr>
      </w:pPr>
    </w:p>
    <w:p w14:paraId="05F9494B" w14:textId="77777777" w:rsidR="009627F2" w:rsidRDefault="009627F2" w:rsidP="00B82D70">
      <w:pPr>
        <w:spacing w:before="0" w:after="0"/>
        <w:jc w:val="center"/>
        <w:rPr>
          <w:rFonts w:eastAsia="Calibri" w:cs="Times New Roman"/>
          <w:b/>
          <w:sz w:val="28"/>
          <w:szCs w:val="28"/>
        </w:rPr>
      </w:pPr>
    </w:p>
    <w:p w14:paraId="5E7A5135" w14:textId="36BA2890" w:rsidR="00B82D70" w:rsidRPr="00C33638" w:rsidRDefault="0070010C" w:rsidP="00B82D70">
      <w:pPr>
        <w:spacing w:before="0" w:after="0"/>
        <w:jc w:val="left"/>
        <w:rPr>
          <w:rFonts w:eastAsia="Calibri" w:cs="Times New Roman"/>
          <w:b/>
        </w:rPr>
      </w:pPr>
      <w:r>
        <w:rPr>
          <w:rFonts w:eastAsia="Calibri" w:cs="Times New Roman"/>
          <w:b/>
        </w:rPr>
        <w:lastRenderedPageBreak/>
        <w:t>I</w:t>
      </w:r>
      <w:r w:rsidR="009627F2">
        <w:rPr>
          <w:rFonts w:eastAsia="Calibri" w:cs="Times New Roman"/>
          <w:b/>
        </w:rPr>
        <w:t>I</w:t>
      </w:r>
      <w:r>
        <w:rPr>
          <w:rFonts w:eastAsia="Calibri" w:cs="Times New Roman"/>
          <w:b/>
        </w:rPr>
        <w:t xml:space="preserve">). </w:t>
      </w:r>
      <w:r w:rsidR="00B82D70" w:rsidRPr="00C33638">
        <w:rPr>
          <w:rFonts w:eastAsia="Calibri" w:cs="Times New Roman"/>
          <w:b/>
        </w:rPr>
        <w:t>NOTAS AL ESTADO DE SITUACI</w:t>
      </w:r>
      <w:r w:rsidR="00B82D70">
        <w:rPr>
          <w:rFonts w:eastAsia="Calibri" w:cs="Times New Roman"/>
          <w:b/>
        </w:rPr>
        <w:t>Ó</w:t>
      </w:r>
      <w:r w:rsidR="00B82D70" w:rsidRPr="00C33638">
        <w:rPr>
          <w:rFonts w:eastAsia="Calibri" w:cs="Times New Roman"/>
          <w:b/>
        </w:rPr>
        <w:t>N FINANCIERA</w:t>
      </w:r>
    </w:p>
    <w:p w14:paraId="7403D1F7" w14:textId="56109A73" w:rsidR="00B82D70" w:rsidRPr="007E286C" w:rsidRDefault="00B82D70" w:rsidP="00B82D70">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 xml:space="preserve">ACTIVO </w:t>
      </w:r>
    </w:p>
    <w:p w14:paraId="3C56DDD2" w14:textId="77777777" w:rsidR="00B82D70" w:rsidRPr="007E286C" w:rsidRDefault="00B82D70" w:rsidP="00B82D70">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1.- EFECTIVO Y EQUIVALENTES</w:t>
      </w:r>
    </w:p>
    <w:p w14:paraId="5EECF50C" w14:textId="77777777" w:rsidR="00312609" w:rsidRDefault="00312609" w:rsidP="00CF7E8D">
      <w:pPr>
        <w:spacing w:before="0" w:after="0"/>
        <w:rPr>
          <w:rFonts w:eastAsia="Times New Roman" w:cs="Times New Roman"/>
          <w:color w:val="000000"/>
          <w:sz w:val="22"/>
          <w:szCs w:val="22"/>
          <w:lang w:eastAsia="es-MX"/>
        </w:rPr>
      </w:pPr>
    </w:p>
    <w:p w14:paraId="728EB457" w14:textId="7446E5DB" w:rsidR="00B82D70" w:rsidRPr="007E286C" w:rsidRDefault="00B82D70" w:rsidP="00CF7E8D">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 xml:space="preserve">El saldo </w:t>
      </w:r>
      <w:r w:rsidRPr="00E70B95">
        <w:rPr>
          <w:rFonts w:eastAsia="Times New Roman" w:cs="Times New Roman"/>
          <w:color w:val="000000"/>
          <w:sz w:val="22"/>
          <w:szCs w:val="22"/>
          <w:lang w:eastAsia="es-MX"/>
        </w:rPr>
        <w:t xml:space="preserve">de </w:t>
      </w:r>
      <w:r w:rsidR="00D67A81">
        <w:rPr>
          <w:rFonts w:eastAsia="Times New Roman" w:cs="Times New Roman"/>
          <w:color w:val="000000"/>
          <w:sz w:val="22"/>
          <w:szCs w:val="22"/>
          <w:lang w:eastAsia="es-MX"/>
        </w:rPr>
        <w:t>1</w:t>
      </w:r>
      <w:r w:rsidRPr="00E70B95">
        <w:rPr>
          <w:rFonts w:eastAsia="Times New Roman" w:cs="Times New Roman"/>
          <w:color w:val="000000"/>
          <w:sz w:val="22"/>
          <w:szCs w:val="22"/>
          <w:lang w:eastAsia="es-MX"/>
        </w:rPr>
        <w:t xml:space="preserve"> mil </w:t>
      </w:r>
      <w:r w:rsidR="003E12FF">
        <w:rPr>
          <w:rFonts w:eastAsia="Times New Roman" w:cs="Times New Roman"/>
          <w:color w:val="000000"/>
          <w:sz w:val="22"/>
          <w:szCs w:val="22"/>
          <w:lang w:eastAsia="es-MX"/>
        </w:rPr>
        <w:t>107</w:t>
      </w:r>
      <w:r w:rsidRPr="00E70B95">
        <w:rPr>
          <w:rFonts w:eastAsia="Times New Roman" w:cs="Times New Roman"/>
          <w:color w:val="000000"/>
          <w:sz w:val="22"/>
          <w:szCs w:val="22"/>
          <w:lang w:eastAsia="es-MX"/>
        </w:rPr>
        <w:t xml:space="preserve"> millones </w:t>
      </w:r>
      <w:r w:rsidR="003E12FF">
        <w:rPr>
          <w:rFonts w:eastAsia="Times New Roman" w:cs="Times New Roman"/>
          <w:color w:val="000000"/>
          <w:sz w:val="22"/>
          <w:szCs w:val="22"/>
          <w:lang w:eastAsia="es-MX"/>
        </w:rPr>
        <w:t>324</w:t>
      </w:r>
      <w:r w:rsidRPr="00E70B95">
        <w:rPr>
          <w:rFonts w:eastAsia="Times New Roman" w:cs="Times New Roman"/>
          <w:color w:val="000000"/>
          <w:sz w:val="22"/>
          <w:szCs w:val="22"/>
          <w:lang w:eastAsia="es-MX"/>
        </w:rPr>
        <w:t xml:space="preserve"> mil </w:t>
      </w:r>
      <w:r w:rsidR="003E12FF">
        <w:rPr>
          <w:rFonts w:eastAsia="Times New Roman" w:cs="Times New Roman"/>
          <w:color w:val="000000"/>
          <w:sz w:val="22"/>
          <w:szCs w:val="22"/>
          <w:lang w:eastAsia="es-MX"/>
        </w:rPr>
        <w:t>888</w:t>
      </w:r>
      <w:r w:rsidRPr="00E70B95">
        <w:rPr>
          <w:rFonts w:eastAsia="Times New Roman" w:cs="Times New Roman"/>
          <w:color w:val="000000"/>
          <w:sz w:val="22"/>
          <w:szCs w:val="22"/>
          <w:lang w:eastAsia="es-MX"/>
        </w:rPr>
        <w:t xml:space="preserve"> pesos,</w:t>
      </w:r>
      <w:r w:rsidRPr="007E286C">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w:t>
      </w:r>
      <w:r w:rsidR="00485F96">
        <w:rPr>
          <w:rFonts w:eastAsia="Times New Roman" w:cs="Times New Roman"/>
          <w:color w:val="000000"/>
          <w:sz w:val="22"/>
          <w:szCs w:val="22"/>
          <w:lang w:eastAsia="es-MX"/>
        </w:rPr>
        <w:t>h</w:t>
      </w:r>
      <w:r w:rsidRPr="007E286C">
        <w:rPr>
          <w:rFonts w:eastAsia="Times New Roman" w:cs="Times New Roman"/>
          <w:color w:val="000000"/>
          <w:sz w:val="22"/>
          <w:szCs w:val="22"/>
          <w:lang w:eastAsia="es-MX"/>
        </w:rPr>
        <w:t xml:space="preserve">arán de conformidad con las reglas de cada uno de ellos, y en el pago a Proveedores, Terceros Institucionales, Impuesto Sobre la Renta Retenido y </w:t>
      </w:r>
      <w:r>
        <w:rPr>
          <w:rFonts w:eastAsia="Times New Roman" w:cs="Times New Roman"/>
          <w:color w:val="000000"/>
          <w:sz w:val="22"/>
          <w:szCs w:val="22"/>
          <w:lang w:eastAsia="es-MX"/>
        </w:rPr>
        <w:t>Cuotas y Aportaciones Patronales</w:t>
      </w:r>
      <w:r w:rsidRPr="00B81858">
        <w:rPr>
          <w:rFonts w:eastAsia="Times New Roman" w:cs="Times New Roman"/>
          <w:color w:val="000000"/>
          <w:sz w:val="22"/>
          <w:szCs w:val="22"/>
          <w:lang w:eastAsia="es-MX"/>
        </w:rPr>
        <w:t xml:space="preserve">. </w:t>
      </w:r>
    </w:p>
    <w:p w14:paraId="67A95647" w14:textId="1170C869" w:rsidR="00B82D70" w:rsidRDefault="00B82D70" w:rsidP="00B82D70">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Su integración detallada es la siguiente:</w:t>
      </w:r>
    </w:p>
    <w:p w14:paraId="631CFCFC" w14:textId="77777777" w:rsidR="00312609" w:rsidRDefault="00312609" w:rsidP="00B82D70">
      <w:pPr>
        <w:widowControl w:val="0"/>
        <w:kinsoku w:val="0"/>
        <w:spacing w:before="0" w:after="0"/>
        <w:contextualSpacing/>
        <w:rPr>
          <w:rFonts w:eastAsia="Times New Roman" w:cs="Times New Roman"/>
          <w:color w:val="000000"/>
          <w:sz w:val="22"/>
          <w:szCs w:val="22"/>
          <w:lang w:eastAsia="es-MX"/>
        </w:rPr>
      </w:pPr>
    </w:p>
    <w:p w14:paraId="2EC5202A" w14:textId="7A81B6DF" w:rsidR="001C365F" w:rsidRDefault="003E12FF" w:rsidP="00B82D70">
      <w:pPr>
        <w:widowControl w:val="0"/>
        <w:kinsoku w:val="0"/>
        <w:spacing w:before="0" w:after="0"/>
        <w:contextualSpacing/>
        <w:rPr>
          <w:rFonts w:eastAsia="Times New Roman" w:cs="Times New Roman"/>
          <w:color w:val="000000"/>
          <w:sz w:val="22"/>
          <w:szCs w:val="22"/>
          <w:lang w:eastAsia="es-MX"/>
        </w:rPr>
      </w:pPr>
      <w:r w:rsidRPr="003E12FF">
        <w:rPr>
          <w:noProof/>
        </w:rPr>
        <w:drawing>
          <wp:inline distT="0" distB="0" distL="0" distR="0" wp14:anchorId="37294FE5" wp14:editId="74D77BFA">
            <wp:extent cx="6351270" cy="1229360"/>
            <wp:effectExtent l="0" t="0" r="0" b="889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6351270" cy="1229360"/>
                    </a:xfrm>
                    <a:prstGeom prst="rect">
                      <a:avLst/>
                    </a:prstGeom>
                    <a:noFill/>
                    <a:ln>
                      <a:noFill/>
                    </a:ln>
                  </pic:spPr>
                </pic:pic>
              </a:graphicData>
            </a:graphic>
          </wp:inline>
        </w:drawing>
      </w:r>
    </w:p>
    <w:p w14:paraId="40D6105F" w14:textId="77777777" w:rsidR="00312609" w:rsidRDefault="00312609" w:rsidP="001C365F">
      <w:pPr>
        <w:widowControl w:val="0"/>
        <w:kinsoku w:val="0"/>
        <w:spacing w:before="0" w:after="0"/>
        <w:contextualSpacing/>
        <w:rPr>
          <w:rFonts w:eastAsia="Times New Roman" w:cs="Times New Roman"/>
          <w:color w:val="000000"/>
          <w:sz w:val="22"/>
          <w:szCs w:val="22"/>
          <w:lang w:eastAsia="es-MX"/>
        </w:rPr>
      </w:pPr>
    </w:p>
    <w:p w14:paraId="0603959C" w14:textId="6A224C4D" w:rsidR="00B82D70" w:rsidRDefault="00F62709" w:rsidP="001C365F">
      <w:pPr>
        <w:widowControl w:val="0"/>
        <w:kinsoku w:val="0"/>
        <w:spacing w:before="0" w:after="0"/>
        <w:contextualSpacing/>
        <w:rPr>
          <w:rFonts w:eastAsia="Times New Roman" w:cs="Times New Roman"/>
          <w:color w:val="000000"/>
          <w:sz w:val="22"/>
          <w:szCs w:val="22"/>
          <w:lang w:eastAsia="es-MX"/>
        </w:rPr>
      </w:pPr>
      <w:r w:rsidRPr="00F62709">
        <w:rPr>
          <w:rFonts w:eastAsia="Times New Roman" w:cs="Times New Roman"/>
          <w:color w:val="000000"/>
          <w:sz w:val="22"/>
          <w:szCs w:val="22"/>
          <w:lang w:eastAsia="es-MX"/>
        </w:rPr>
        <w:t>Se presenta un</w:t>
      </w:r>
      <w:r>
        <w:rPr>
          <w:rFonts w:eastAsia="Times New Roman" w:cs="Times New Roman"/>
          <w:color w:val="000000"/>
          <w:sz w:val="22"/>
          <w:szCs w:val="22"/>
          <w:lang w:eastAsia="es-MX"/>
        </w:rPr>
        <w:t>a</w:t>
      </w:r>
      <w:r w:rsidRPr="00F62709">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disminución</w:t>
      </w:r>
      <w:r w:rsidRPr="00F62709">
        <w:rPr>
          <w:rFonts w:eastAsia="Times New Roman" w:cs="Times New Roman"/>
          <w:color w:val="000000"/>
          <w:sz w:val="22"/>
          <w:szCs w:val="22"/>
          <w:lang w:eastAsia="es-MX"/>
        </w:rPr>
        <w:t xml:space="preserve"> del </w:t>
      </w:r>
      <w:r w:rsidR="003E12FF">
        <w:rPr>
          <w:rFonts w:eastAsia="Times New Roman" w:cs="Times New Roman"/>
          <w:color w:val="000000"/>
          <w:sz w:val="22"/>
          <w:szCs w:val="22"/>
          <w:lang w:eastAsia="es-MX"/>
        </w:rPr>
        <w:t>48.70</w:t>
      </w:r>
      <w:r w:rsidRPr="00F62709">
        <w:rPr>
          <w:rFonts w:eastAsia="Times New Roman" w:cs="Times New Roman"/>
          <w:color w:val="000000"/>
          <w:sz w:val="22"/>
          <w:szCs w:val="22"/>
          <w:lang w:eastAsia="es-MX"/>
        </w:rPr>
        <w:t>% en el rubro de efectivo y equivalentes derivado principalmente de los saldos en las cuentas de Bancos</w:t>
      </w:r>
      <w:r w:rsidR="00523FC0">
        <w:rPr>
          <w:rFonts w:eastAsia="Times New Roman" w:cs="Times New Roman"/>
          <w:color w:val="000000"/>
          <w:sz w:val="22"/>
          <w:szCs w:val="22"/>
          <w:lang w:eastAsia="es-MX"/>
        </w:rPr>
        <w:t>.</w:t>
      </w:r>
    </w:p>
    <w:p w14:paraId="5AB06106" w14:textId="77777777" w:rsidR="00312609" w:rsidRDefault="00312609" w:rsidP="001C365F">
      <w:pPr>
        <w:widowControl w:val="0"/>
        <w:kinsoku w:val="0"/>
        <w:spacing w:before="0" w:after="0"/>
        <w:contextualSpacing/>
        <w:rPr>
          <w:rFonts w:eastAsia="Times New Roman" w:cs="Times New Roman"/>
          <w:color w:val="000000"/>
          <w:sz w:val="22"/>
          <w:szCs w:val="22"/>
          <w:lang w:eastAsia="es-MX"/>
        </w:rPr>
      </w:pPr>
    </w:p>
    <w:p w14:paraId="538DA796" w14:textId="6F3EE3A7" w:rsidR="00266E75" w:rsidRDefault="00266E75" w:rsidP="001C365F">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En este sentido, se destacan las cuentas bancarias de fondos específicos por convenios o fondos federales, que cuentan con los saldos siguientes:</w:t>
      </w:r>
    </w:p>
    <w:p w14:paraId="7BADFFC6" w14:textId="033437ED" w:rsidR="00266E75" w:rsidRDefault="00312609" w:rsidP="001C365F">
      <w:pPr>
        <w:widowControl w:val="0"/>
        <w:kinsoku w:val="0"/>
        <w:spacing w:before="0" w:after="0"/>
        <w:contextualSpacing/>
        <w:rPr>
          <w:rFonts w:eastAsia="Times New Roman" w:cs="Times New Roman"/>
          <w:color w:val="000000"/>
          <w:sz w:val="22"/>
          <w:szCs w:val="22"/>
          <w:lang w:eastAsia="es-MX"/>
        </w:rPr>
      </w:pPr>
      <w:r w:rsidRPr="00312609">
        <w:rPr>
          <w:rFonts w:eastAsia="Times New Roman" w:cs="Times New Roman"/>
          <w:noProof/>
          <w:color w:val="000000"/>
          <w:sz w:val="22"/>
          <w:szCs w:val="22"/>
          <w:lang w:eastAsia="es-MX"/>
        </w:rPr>
        <w:lastRenderedPageBreak/>
        <w:drawing>
          <wp:inline distT="0" distB="0" distL="0" distR="0" wp14:anchorId="055220E5" wp14:editId="37943503">
            <wp:extent cx="6162261" cy="808799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75305" cy="8105116"/>
                    </a:xfrm>
                    <a:prstGeom prst="rect">
                      <a:avLst/>
                    </a:prstGeom>
                  </pic:spPr>
                </pic:pic>
              </a:graphicData>
            </a:graphic>
          </wp:inline>
        </w:drawing>
      </w:r>
    </w:p>
    <w:p w14:paraId="147529BC" w14:textId="2FE647D0" w:rsidR="00266E75" w:rsidRDefault="00312609" w:rsidP="001C365F">
      <w:pPr>
        <w:widowControl w:val="0"/>
        <w:kinsoku w:val="0"/>
        <w:spacing w:before="0" w:after="0"/>
        <w:contextualSpacing/>
        <w:rPr>
          <w:rFonts w:eastAsia="Times New Roman" w:cs="Times New Roman"/>
          <w:color w:val="000000"/>
          <w:sz w:val="22"/>
          <w:szCs w:val="22"/>
          <w:lang w:eastAsia="es-MX"/>
        </w:rPr>
      </w:pPr>
      <w:r w:rsidRPr="00312609">
        <w:rPr>
          <w:rFonts w:eastAsia="Times New Roman" w:cs="Times New Roman"/>
          <w:noProof/>
          <w:color w:val="000000"/>
          <w:sz w:val="22"/>
          <w:szCs w:val="22"/>
          <w:lang w:eastAsia="es-MX"/>
        </w:rPr>
        <w:lastRenderedPageBreak/>
        <w:drawing>
          <wp:inline distT="0" distB="0" distL="0" distR="0" wp14:anchorId="156A8700" wp14:editId="2FAA35FF">
            <wp:extent cx="6186115" cy="8037612"/>
            <wp:effectExtent l="0" t="0" r="571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02366" cy="8058726"/>
                    </a:xfrm>
                    <a:prstGeom prst="rect">
                      <a:avLst/>
                    </a:prstGeom>
                  </pic:spPr>
                </pic:pic>
              </a:graphicData>
            </a:graphic>
          </wp:inline>
        </w:drawing>
      </w:r>
    </w:p>
    <w:p w14:paraId="30F64FAD" w14:textId="3EBEAB2A" w:rsidR="00266E75" w:rsidRDefault="00312609" w:rsidP="001C365F">
      <w:pPr>
        <w:widowControl w:val="0"/>
        <w:kinsoku w:val="0"/>
        <w:spacing w:before="0" w:after="0"/>
        <w:contextualSpacing/>
        <w:rPr>
          <w:rFonts w:eastAsia="Times New Roman" w:cs="Times New Roman"/>
          <w:color w:val="000000"/>
          <w:sz w:val="22"/>
          <w:szCs w:val="22"/>
          <w:lang w:eastAsia="es-MX"/>
        </w:rPr>
      </w:pPr>
      <w:r w:rsidRPr="00312609">
        <w:rPr>
          <w:rFonts w:eastAsia="Times New Roman" w:cs="Times New Roman"/>
          <w:noProof/>
          <w:color w:val="000000"/>
          <w:sz w:val="22"/>
          <w:szCs w:val="22"/>
          <w:lang w:eastAsia="es-MX"/>
        </w:rPr>
        <w:lastRenderedPageBreak/>
        <w:drawing>
          <wp:inline distT="0" distB="0" distL="0" distR="0" wp14:anchorId="33B94CB7" wp14:editId="66C0D5E1">
            <wp:extent cx="6305550" cy="79152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5550" cy="7915275"/>
                    </a:xfrm>
                    <a:prstGeom prst="rect">
                      <a:avLst/>
                    </a:prstGeom>
                  </pic:spPr>
                </pic:pic>
              </a:graphicData>
            </a:graphic>
          </wp:inline>
        </w:drawing>
      </w:r>
    </w:p>
    <w:p w14:paraId="7986FE63" w14:textId="5DE21F68" w:rsidR="00321041" w:rsidRDefault="00987B30" w:rsidP="001C365F">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lastRenderedPageBreak/>
        <w:t xml:space="preserve">De igual manera se cuenta con </w:t>
      </w:r>
      <w:r w:rsidR="00F5069E">
        <w:rPr>
          <w:rFonts w:eastAsia="Times New Roman" w:cs="Times New Roman"/>
          <w:color w:val="000000"/>
          <w:sz w:val="22"/>
          <w:szCs w:val="22"/>
          <w:lang w:eastAsia="es-MX"/>
        </w:rPr>
        <w:t xml:space="preserve">un monto de </w:t>
      </w:r>
      <w:r w:rsidR="00312609">
        <w:rPr>
          <w:rFonts w:eastAsia="Times New Roman" w:cs="Times New Roman"/>
          <w:color w:val="000000"/>
          <w:sz w:val="22"/>
          <w:szCs w:val="22"/>
          <w:lang w:eastAsia="es-MX"/>
        </w:rPr>
        <w:t>3</w:t>
      </w:r>
      <w:r w:rsidR="00F5069E">
        <w:rPr>
          <w:rFonts w:eastAsia="Times New Roman" w:cs="Times New Roman"/>
          <w:color w:val="000000"/>
          <w:sz w:val="22"/>
          <w:szCs w:val="22"/>
          <w:lang w:eastAsia="es-MX"/>
        </w:rPr>
        <w:t>6 millones 503 mil 752 pesos en una cuenta de inversión, de recursos provenientes de una donación, cuyo fin se encuentra en estudio por parte de la Comisión de Gasto financiamiento y se integra a continuación</w:t>
      </w:r>
      <w:r>
        <w:rPr>
          <w:rFonts w:eastAsia="Times New Roman" w:cs="Times New Roman"/>
          <w:color w:val="000000"/>
          <w:sz w:val="22"/>
          <w:szCs w:val="22"/>
          <w:lang w:eastAsia="es-MX"/>
        </w:rPr>
        <w:t>:</w:t>
      </w:r>
    </w:p>
    <w:p w14:paraId="172EC125" w14:textId="77777777" w:rsidR="00987B30" w:rsidRDefault="00987B30" w:rsidP="001C365F">
      <w:pPr>
        <w:widowControl w:val="0"/>
        <w:kinsoku w:val="0"/>
        <w:spacing w:before="0" w:after="0"/>
        <w:contextualSpacing/>
        <w:rPr>
          <w:rFonts w:eastAsia="Times New Roman" w:cs="Times New Roman"/>
          <w:color w:val="000000"/>
          <w:sz w:val="22"/>
          <w:szCs w:val="22"/>
          <w:lang w:eastAsia="es-MX"/>
        </w:rPr>
      </w:pPr>
    </w:p>
    <w:tbl>
      <w:tblPr>
        <w:tblStyle w:val="Tablaconcuadrcula"/>
        <w:tblW w:w="0" w:type="auto"/>
        <w:jc w:val="center"/>
        <w:tblLook w:val="04A0" w:firstRow="1" w:lastRow="0" w:firstColumn="1" w:lastColumn="0" w:noHBand="0" w:noVBand="1"/>
      </w:tblPr>
      <w:tblGrid>
        <w:gridCol w:w="3330"/>
        <w:gridCol w:w="3331"/>
        <w:gridCol w:w="3331"/>
      </w:tblGrid>
      <w:tr w:rsidR="00987B30" w14:paraId="131E3155" w14:textId="77777777" w:rsidTr="00987B30">
        <w:trPr>
          <w:jc w:val="center"/>
        </w:trPr>
        <w:tc>
          <w:tcPr>
            <w:tcW w:w="3330" w:type="dxa"/>
            <w:shd w:val="clear" w:color="auto" w:fill="000000" w:themeFill="text1"/>
          </w:tcPr>
          <w:p w14:paraId="7015EC96" w14:textId="5CC18420" w:rsidR="00987B30" w:rsidRPr="00987B30" w:rsidRDefault="00987B30" w:rsidP="00987B30">
            <w:pPr>
              <w:widowControl w:val="0"/>
              <w:kinsoku w:val="0"/>
              <w:contextualSpacing/>
              <w:jc w:val="center"/>
              <w:rPr>
                <w:rFonts w:eastAsia="Times New Roman" w:cs="Times New Roman"/>
                <w:b/>
                <w:bCs/>
                <w:color w:val="FFFFFF" w:themeColor="background1"/>
                <w:lang w:eastAsia="es-MX"/>
              </w:rPr>
            </w:pPr>
            <w:r w:rsidRPr="00987B30">
              <w:rPr>
                <w:rFonts w:eastAsia="Times New Roman" w:cs="Times New Roman"/>
                <w:b/>
                <w:bCs/>
                <w:color w:val="FFFFFF" w:themeColor="background1"/>
                <w:lang w:eastAsia="es-MX"/>
              </w:rPr>
              <w:t>CUENTAS DE INVERSIÓN</w:t>
            </w:r>
          </w:p>
        </w:tc>
        <w:tc>
          <w:tcPr>
            <w:tcW w:w="3331" w:type="dxa"/>
            <w:shd w:val="clear" w:color="auto" w:fill="000000" w:themeFill="text1"/>
          </w:tcPr>
          <w:p w14:paraId="142217FA" w14:textId="60999502" w:rsidR="00987B30" w:rsidRPr="00987B30" w:rsidRDefault="00987B30" w:rsidP="00987B30">
            <w:pPr>
              <w:widowControl w:val="0"/>
              <w:kinsoku w:val="0"/>
              <w:contextualSpacing/>
              <w:jc w:val="center"/>
              <w:rPr>
                <w:rFonts w:eastAsia="Times New Roman" w:cs="Times New Roman"/>
                <w:b/>
                <w:bCs/>
                <w:color w:val="FFFFFF" w:themeColor="background1"/>
                <w:lang w:eastAsia="es-MX"/>
              </w:rPr>
            </w:pPr>
            <w:r w:rsidRPr="00987B30">
              <w:rPr>
                <w:rFonts w:eastAsia="Times New Roman" w:cs="Times New Roman"/>
                <w:b/>
                <w:bCs/>
                <w:color w:val="FFFFFF" w:themeColor="background1"/>
                <w:lang w:eastAsia="es-MX"/>
              </w:rPr>
              <w:t>TIPO</w:t>
            </w:r>
          </w:p>
        </w:tc>
        <w:tc>
          <w:tcPr>
            <w:tcW w:w="3331" w:type="dxa"/>
            <w:shd w:val="clear" w:color="auto" w:fill="000000" w:themeFill="text1"/>
          </w:tcPr>
          <w:p w14:paraId="7AFE916E" w14:textId="0F62EC04" w:rsidR="00987B30" w:rsidRPr="00987B30" w:rsidRDefault="00987B30" w:rsidP="00987B30">
            <w:pPr>
              <w:widowControl w:val="0"/>
              <w:kinsoku w:val="0"/>
              <w:contextualSpacing/>
              <w:jc w:val="center"/>
              <w:rPr>
                <w:rFonts w:eastAsia="Times New Roman" w:cs="Times New Roman"/>
                <w:b/>
                <w:bCs/>
                <w:color w:val="FFFFFF" w:themeColor="background1"/>
                <w:lang w:eastAsia="es-MX"/>
              </w:rPr>
            </w:pPr>
            <w:r w:rsidRPr="00987B30">
              <w:rPr>
                <w:rFonts w:eastAsia="Times New Roman" w:cs="Times New Roman"/>
                <w:b/>
                <w:bCs/>
                <w:color w:val="FFFFFF" w:themeColor="background1"/>
                <w:lang w:eastAsia="es-MX"/>
              </w:rPr>
              <w:t>SALDO AL 31 DE DICIEMBRE 2022</w:t>
            </w:r>
          </w:p>
        </w:tc>
      </w:tr>
      <w:tr w:rsidR="00987B30" w14:paraId="5B3F8335" w14:textId="77777777" w:rsidTr="00987B30">
        <w:trPr>
          <w:jc w:val="center"/>
        </w:trPr>
        <w:tc>
          <w:tcPr>
            <w:tcW w:w="3330" w:type="dxa"/>
          </w:tcPr>
          <w:p w14:paraId="085753D6" w14:textId="69E6B3F6" w:rsidR="00987B30" w:rsidRDefault="00987B30" w:rsidP="00987B30">
            <w:pPr>
              <w:widowControl w:val="0"/>
              <w:kinsoku w:val="0"/>
              <w:contextualSpacing/>
              <w:jc w:val="center"/>
              <w:rPr>
                <w:rFonts w:eastAsia="Times New Roman" w:cs="Times New Roman"/>
                <w:color w:val="000000"/>
                <w:lang w:eastAsia="es-MX"/>
              </w:rPr>
            </w:pPr>
            <w:r>
              <w:rPr>
                <w:rFonts w:eastAsia="Times New Roman" w:cs="Times New Roman"/>
                <w:color w:val="000000"/>
                <w:lang w:eastAsia="es-MX"/>
              </w:rPr>
              <w:t>INVERSIÓN BAJIO 1000722</w:t>
            </w:r>
          </w:p>
        </w:tc>
        <w:tc>
          <w:tcPr>
            <w:tcW w:w="3331" w:type="dxa"/>
          </w:tcPr>
          <w:p w14:paraId="1937F6EF" w14:textId="7E1DA2DF" w:rsidR="00987B30" w:rsidRDefault="00987B30" w:rsidP="00987B30">
            <w:pPr>
              <w:widowControl w:val="0"/>
              <w:kinsoku w:val="0"/>
              <w:contextualSpacing/>
              <w:jc w:val="center"/>
              <w:rPr>
                <w:rFonts w:eastAsia="Times New Roman" w:cs="Times New Roman"/>
                <w:color w:val="000000"/>
                <w:lang w:eastAsia="es-MX"/>
              </w:rPr>
            </w:pPr>
            <w:r>
              <w:rPr>
                <w:rFonts w:eastAsia="Times New Roman" w:cs="Times New Roman"/>
                <w:color w:val="000000"/>
                <w:lang w:eastAsia="es-MX"/>
              </w:rPr>
              <w:t>INVERSIÓN A PLAZO</w:t>
            </w:r>
          </w:p>
        </w:tc>
        <w:tc>
          <w:tcPr>
            <w:tcW w:w="3331" w:type="dxa"/>
          </w:tcPr>
          <w:p w14:paraId="1308FF86" w14:textId="48BF01F3" w:rsidR="00987B30" w:rsidRDefault="00987B30" w:rsidP="00987B30">
            <w:pPr>
              <w:widowControl w:val="0"/>
              <w:kinsoku w:val="0"/>
              <w:contextualSpacing/>
              <w:jc w:val="right"/>
              <w:rPr>
                <w:rFonts w:eastAsia="Times New Roman" w:cs="Times New Roman"/>
                <w:color w:val="000000"/>
                <w:lang w:eastAsia="es-MX"/>
              </w:rPr>
            </w:pPr>
            <w:proofErr w:type="gramStart"/>
            <w:r>
              <w:rPr>
                <w:rFonts w:eastAsia="Times New Roman" w:cs="Times New Roman"/>
                <w:color w:val="000000"/>
                <w:lang w:eastAsia="es-MX"/>
              </w:rPr>
              <w:t>$  36,503,752.00</w:t>
            </w:r>
            <w:proofErr w:type="gramEnd"/>
          </w:p>
        </w:tc>
      </w:tr>
    </w:tbl>
    <w:p w14:paraId="61560894" w14:textId="77777777" w:rsidR="00987B30" w:rsidRDefault="00987B30" w:rsidP="001C365F">
      <w:pPr>
        <w:widowControl w:val="0"/>
        <w:kinsoku w:val="0"/>
        <w:spacing w:before="0" w:after="0"/>
        <w:contextualSpacing/>
        <w:rPr>
          <w:rFonts w:eastAsia="Times New Roman" w:cs="Times New Roman"/>
          <w:color w:val="000000"/>
          <w:sz w:val="22"/>
          <w:szCs w:val="22"/>
          <w:lang w:eastAsia="es-MX"/>
        </w:rPr>
      </w:pPr>
    </w:p>
    <w:p w14:paraId="58396408" w14:textId="4560B1AD" w:rsidR="00B82D70" w:rsidRPr="007E286C" w:rsidRDefault="00B82D70" w:rsidP="00B82D70">
      <w:pPr>
        <w:spacing w:before="0" w:after="0"/>
        <w:rPr>
          <w:rFonts w:ascii="Arial" w:eastAsia="Times New Roman" w:hAnsi="Arial" w:cs="Arial"/>
          <w:b/>
          <w:bCs/>
          <w:color w:val="000000"/>
          <w:sz w:val="22"/>
          <w:szCs w:val="22"/>
          <w:lang w:eastAsia="es-MX"/>
        </w:rPr>
      </w:pPr>
      <w:r w:rsidRPr="007E286C">
        <w:rPr>
          <w:rFonts w:eastAsia="Times New Roman" w:cs="Times New Roman"/>
          <w:b/>
          <w:color w:val="000000"/>
          <w:sz w:val="22"/>
          <w:szCs w:val="22"/>
          <w:lang w:eastAsia="es-MX"/>
        </w:rPr>
        <w:t>DERECHOS A RECIBIR EFECTIVO O EQUIVALENTES</w:t>
      </w:r>
    </w:p>
    <w:p w14:paraId="5EF5E2C7" w14:textId="6ED39A70" w:rsidR="0023083B" w:rsidRPr="00E7156D" w:rsidRDefault="0023083B" w:rsidP="00B82D70">
      <w:pPr>
        <w:spacing w:before="0" w:after="0"/>
        <w:rPr>
          <w:rFonts w:eastAsia="Times New Roman" w:cs="Times New Roman"/>
          <w:b/>
          <w:bCs/>
          <w:color w:val="000000"/>
          <w:sz w:val="22"/>
          <w:szCs w:val="22"/>
          <w:lang w:eastAsia="es-MX"/>
        </w:rPr>
      </w:pPr>
      <w:r w:rsidRPr="00E7156D">
        <w:rPr>
          <w:rFonts w:eastAsia="Times New Roman" w:cs="Times New Roman"/>
          <w:b/>
          <w:bCs/>
          <w:color w:val="000000"/>
          <w:sz w:val="22"/>
          <w:szCs w:val="22"/>
          <w:lang w:eastAsia="es-MX"/>
        </w:rPr>
        <w:t>2. CUENTAS PENDIENTES DE COBRO</w:t>
      </w:r>
    </w:p>
    <w:p w14:paraId="0794EEE7" w14:textId="32286FF6" w:rsidR="0023083B" w:rsidRDefault="00E7156D" w:rsidP="00B82D70">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El rubro de cuentas por cobrar se encuentra en proceso de depuración, sin embargo, se destacan los montos, hasta cinco años, de los procesos judiciales de cobro y por responsabilidades administrativas.</w:t>
      </w:r>
    </w:p>
    <w:p w14:paraId="7A50726E" w14:textId="77777777" w:rsidR="00B931C8" w:rsidRDefault="00B931C8" w:rsidP="00B82D70">
      <w:pPr>
        <w:spacing w:before="0" w:after="0"/>
        <w:rPr>
          <w:rFonts w:eastAsia="Times New Roman" w:cs="Times New Roman"/>
          <w:color w:val="000000"/>
          <w:sz w:val="22"/>
          <w:szCs w:val="22"/>
          <w:lang w:eastAsia="es-MX"/>
        </w:rPr>
      </w:pPr>
    </w:p>
    <w:p w14:paraId="3CE15AA3" w14:textId="00822F03" w:rsidR="00B931C8" w:rsidRDefault="00AF51D9" w:rsidP="00B82D70">
      <w:pPr>
        <w:spacing w:before="0" w:after="0"/>
        <w:rPr>
          <w:rFonts w:eastAsia="Times New Roman" w:cs="Times New Roman"/>
          <w:color w:val="000000"/>
          <w:sz w:val="22"/>
          <w:szCs w:val="22"/>
          <w:lang w:eastAsia="es-MX"/>
        </w:rPr>
      </w:pPr>
      <w:r>
        <w:rPr>
          <w:rFonts w:eastAsia="Times New Roman" w:cs="Times New Roman"/>
          <w:noProof/>
          <w:color w:val="000000"/>
          <w:sz w:val="22"/>
          <w:szCs w:val="22"/>
          <w:lang w:eastAsia="es-MX"/>
        </w:rPr>
        <w:drawing>
          <wp:inline distT="0" distB="0" distL="0" distR="0" wp14:anchorId="1BF6F8AA" wp14:editId="6D89083C">
            <wp:extent cx="2371725" cy="1294427"/>
            <wp:effectExtent l="0" t="0" r="0" b="127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5535" cy="1296506"/>
                    </a:xfrm>
                    <a:prstGeom prst="rect">
                      <a:avLst/>
                    </a:prstGeom>
                    <a:noFill/>
                  </pic:spPr>
                </pic:pic>
              </a:graphicData>
            </a:graphic>
          </wp:inline>
        </w:drawing>
      </w:r>
    </w:p>
    <w:p w14:paraId="6A1D23A1" w14:textId="77777777" w:rsidR="00E7156D" w:rsidRDefault="00E7156D" w:rsidP="00B82D70">
      <w:pPr>
        <w:spacing w:before="0" w:after="0"/>
        <w:rPr>
          <w:rFonts w:eastAsia="Times New Roman" w:cs="Times New Roman"/>
          <w:color w:val="000000"/>
          <w:sz w:val="22"/>
          <w:szCs w:val="22"/>
          <w:lang w:eastAsia="es-MX"/>
        </w:rPr>
      </w:pPr>
    </w:p>
    <w:p w14:paraId="2CBF6864" w14:textId="545C0AF4" w:rsidR="00B82D70" w:rsidRPr="00E7156D" w:rsidRDefault="0023083B" w:rsidP="00B82D70">
      <w:pPr>
        <w:spacing w:before="0" w:after="0"/>
        <w:rPr>
          <w:rFonts w:eastAsia="Times New Roman" w:cs="Times New Roman"/>
          <w:b/>
          <w:bCs/>
          <w:color w:val="000000"/>
          <w:sz w:val="22"/>
          <w:szCs w:val="22"/>
          <w:lang w:eastAsia="es-MX"/>
        </w:rPr>
      </w:pPr>
      <w:r w:rsidRPr="00E7156D">
        <w:rPr>
          <w:rFonts w:eastAsia="Times New Roman" w:cs="Times New Roman"/>
          <w:b/>
          <w:bCs/>
          <w:color w:val="000000"/>
          <w:sz w:val="22"/>
          <w:szCs w:val="22"/>
          <w:lang w:eastAsia="es-MX"/>
        </w:rPr>
        <w:t>3</w:t>
      </w:r>
      <w:r w:rsidR="00605B6D" w:rsidRPr="00E7156D">
        <w:rPr>
          <w:rFonts w:eastAsia="Times New Roman" w:cs="Times New Roman"/>
          <w:b/>
          <w:bCs/>
          <w:color w:val="000000"/>
          <w:sz w:val="22"/>
          <w:szCs w:val="22"/>
          <w:lang w:eastAsia="es-MX"/>
        </w:rPr>
        <w:t>. POR TIPO DE CONTRIBUCIÓN</w:t>
      </w:r>
    </w:p>
    <w:p w14:paraId="2BF4F345" w14:textId="513A6D33" w:rsidR="00F00803" w:rsidRDefault="00B82D70" w:rsidP="00987B30">
      <w:pPr>
        <w:widowControl w:val="0"/>
        <w:kinsoku w:val="0"/>
        <w:spacing w:before="0" w:after="0"/>
        <w:contextualSpacing/>
        <w:rPr>
          <w:noProof/>
          <w:lang w:eastAsia="es-MX"/>
        </w:rPr>
      </w:pPr>
      <w:r w:rsidRPr="007E286C">
        <w:rPr>
          <w:rFonts w:eastAsia="Times New Roman" w:cs="Times New Roman"/>
          <w:color w:val="000000"/>
          <w:sz w:val="22"/>
          <w:szCs w:val="22"/>
          <w:lang w:eastAsia="es-MX"/>
        </w:rPr>
        <w:t>El saldo del rubro al 3</w:t>
      </w:r>
      <w:r w:rsidR="0069489D">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 </w:t>
      </w:r>
      <w:r w:rsidR="0069489D">
        <w:rPr>
          <w:rFonts w:eastAsia="Times New Roman" w:cs="Times New Roman"/>
          <w:color w:val="000000"/>
          <w:sz w:val="22"/>
          <w:szCs w:val="22"/>
          <w:lang w:eastAsia="es-MX"/>
        </w:rPr>
        <w:t>diciembre</w:t>
      </w:r>
      <w:r w:rsidR="003C1B12">
        <w:rPr>
          <w:rFonts w:eastAsia="Times New Roman" w:cs="Times New Roman"/>
          <w:color w:val="000000"/>
          <w:sz w:val="22"/>
          <w:szCs w:val="22"/>
          <w:lang w:eastAsia="es-MX"/>
        </w:rPr>
        <w:t xml:space="preserve"> </w:t>
      </w:r>
      <w:r w:rsidRPr="007E286C">
        <w:rPr>
          <w:rFonts w:eastAsia="Times New Roman" w:cs="Times New Roman"/>
          <w:color w:val="000000"/>
          <w:sz w:val="22"/>
          <w:szCs w:val="22"/>
          <w:lang w:eastAsia="es-MX"/>
        </w:rPr>
        <w:t>de 202</w:t>
      </w:r>
      <w:r w:rsidR="00136436">
        <w:rPr>
          <w:rFonts w:eastAsia="Times New Roman" w:cs="Times New Roman"/>
          <w:color w:val="000000"/>
          <w:sz w:val="22"/>
          <w:szCs w:val="22"/>
          <w:lang w:eastAsia="es-MX"/>
        </w:rPr>
        <w:t>2</w:t>
      </w:r>
      <w:r w:rsidRPr="007E286C">
        <w:rPr>
          <w:rFonts w:eastAsia="Times New Roman" w:cs="Times New Roman"/>
          <w:color w:val="000000"/>
          <w:sz w:val="22"/>
          <w:szCs w:val="22"/>
          <w:lang w:eastAsia="es-MX"/>
        </w:rPr>
        <w:t xml:space="preserve">, por </w:t>
      </w:r>
      <w:r w:rsidR="00987B30">
        <w:rPr>
          <w:rFonts w:eastAsia="Times New Roman" w:cs="Times New Roman"/>
          <w:color w:val="000000"/>
          <w:sz w:val="22"/>
          <w:szCs w:val="22"/>
          <w:lang w:eastAsia="es-MX"/>
        </w:rPr>
        <w:t>835</w:t>
      </w:r>
      <w:r w:rsidRPr="00253AD4">
        <w:rPr>
          <w:rFonts w:eastAsia="Times New Roman" w:cs="Times New Roman"/>
          <w:color w:val="000000"/>
          <w:sz w:val="22"/>
          <w:szCs w:val="22"/>
          <w:lang w:eastAsia="es-MX"/>
        </w:rPr>
        <w:t xml:space="preserve"> millones </w:t>
      </w:r>
      <w:r w:rsidR="004F6490">
        <w:rPr>
          <w:rFonts w:eastAsia="Times New Roman" w:cs="Times New Roman"/>
          <w:color w:val="000000"/>
          <w:sz w:val="22"/>
          <w:szCs w:val="22"/>
          <w:lang w:eastAsia="es-MX"/>
        </w:rPr>
        <w:t>077</w:t>
      </w:r>
      <w:r w:rsidR="0023083B">
        <w:rPr>
          <w:rFonts w:eastAsia="Times New Roman" w:cs="Times New Roman"/>
          <w:color w:val="000000"/>
          <w:sz w:val="22"/>
          <w:szCs w:val="22"/>
          <w:lang w:eastAsia="es-MX"/>
        </w:rPr>
        <w:t xml:space="preserve"> </w:t>
      </w:r>
      <w:r w:rsidRPr="00253AD4">
        <w:rPr>
          <w:rFonts w:eastAsia="Times New Roman" w:cs="Times New Roman"/>
          <w:color w:val="000000"/>
          <w:sz w:val="22"/>
          <w:szCs w:val="22"/>
          <w:lang w:eastAsia="es-MX"/>
        </w:rPr>
        <w:t xml:space="preserve">mil </w:t>
      </w:r>
      <w:r w:rsidR="00987B30">
        <w:rPr>
          <w:rFonts w:eastAsia="Times New Roman" w:cs="Times New Roman"/>
          <w:color w:val="000000"/>
          <w:sz w:val="22"/>
          <w:szCs w:val="22"/>
          <w:lang w:eastAsia="es-MX"/>
        </w:rPr>
        <w:t>2</w:t>
      </w:r>
      <w:r w:rsidR="004F6490">
        <w:rPr>
          <w:rFonts w:eastAsia="Times New Roman" w:cs="Times New Roman"/>
          <w:color w:val="000000"/>
          <w:sz w:val="22"/>
          <w:szCs w:val="22"/>
          <w:lang w:eastAsia="es-MX"/>
        </w:rPr>
        <w:t>05</w:t>
      </w:r>
      <w:r w:rsidRPr="00253AD4">
        <w:rPr>
          <w:rFonts w:eastAsia="Times New Roman" w:cs="Times New Roman"/>
          <w:color w:val="000000"/>
          <w:sz w:val="22"/>
          <w:szCs w:val="22"/>
          <w:lang w:eastAsia="es-MX"/>
        </w:rPr>
        <w:t xml:space="preserve"> pesos</w:t>
      </w:r>
      <w:r w:rsidRPr="007E286C">
        <w:rPr>
          <w:rFonts w:eastAsia="Times New Roman" w:cs="Times New Roman"/>
          <w:color w:val="000000"/>
          <w:sz w:val="22"/>
          <w:szCs w:val="22"/>
          <w:lang w:eastAsia="es-MX"/>
        </w:rPr>
        <w:t>, se encuentra integrado por diversas cuentas cuya característica es que son recuperables en el corto plazo</w:t>
      </w:r>
      <w:r>
        <w:rPr>
          <w:rFonts w:eastAsia="Times New Roman" w:cs="Times New Roman"/>
          <w:color w:val="000000"/>
          <w:sz w:val="22"/>
          <w:szCs w:val="22"/>
          <w:lang w:eastAsia="es-MX"/>
        </w:rPr>
        <w:t xml:space="preserve"> originados en el desarrollo en las actividades de los </w:t>
      </w:r>
      <w:r w:rsidR="00F073C1">
        <w:rPr>
          <w:rFonts w:eastAsia="Times New Roman" w:cs="Times New Roman"/>
          <w:color w:val="000000"/>
          <w:sz w:val="22"/>
          <w:szCs w:val="22"/>
          <w:lang w:eastAsia="es-MX"/>
        </w:rPr>
        <w:t>E</w:t>
      </w:r>
      <w:r>
        <w:rPr>
          <w:rFonts w:eastAsia="Times New Roman" w:cs="Times New Roman"/>
          <w:color w:val="000000"/>
          <w:sz w:val="22"/>
          <w:szCs w:val="22"/>
          <w:lang w:eastAsia="es-MX"/>
        </w:rPr>
        <w:t xml:space="preserve">ntes </w:t>
      </w:r>
      <w:r w:rsidR="00F073C1">
        <w:rPr>
          <w:rFonts w:eastAsia="Times New Roman" w:cs="Times New Roman"/>
          <w:color w:val="000000"/>
          <w:sz w:val="22"/>
          <w:szCs w:val="22"/>
          <w:lang w:eastAsia="es-MX"/>
        </w:rPr>
        <w:t>P</w:t>
      </w:r>
      <w:r>
        <w:rPr>
          <w:rFonts w:eastAsia="Times New Roman" w:cs="Times New Roman"/>
          <w:color w:val="000000"/>
          <w:sz w:val="22"/>
          <w:szCs w:val="22"/>
          <w:lang w:eastAsia="es-MX"/>
        </w:rPr>
        <w:t>úblicos, por la</w:t>
      </w:r>
      <w:r w:rsidR="00BE4DE3">
        <w:rPr>
          <w:rFonts w:eastAsia="Times New Roman" w:cs="Times New Roman"/>
          <w:color w:val="000000"/>
          <w:sz w:val="22"/>
          <w:szCs w:val="22"/>
          <w:lang w:eastAsia="es-MX"/>
        </w:rPr>
        <w:t>s</w:t>
      </w:r>
      <w:r>
        <w:rPr>
          <w:rFonts w:eastAsia="Times New Roman" w:cs="Times New Roman"/>
          <w:color w:val="000000"/>
          <w:sz w:val="22"/>
          <w:szCs w:val="22"/>
          <w:lang w:eastAsia="es-MX"/>
        </w:rPr>
        <w:t xml:space="preserve"> cuales se espera recibir una contraprestación representada en recursos, bienes o servicio</w:t>
      </w:r>
      <w:r w:rsidRPr="007E286C">
        <w:rPr>
          <w:rFonts w:eastAsia="Times New Roman" w:cs="Times New Roman"/>
          <w:color w:val="000000"/>
          <w:sz w:val="22"/>
          <w:szCs w:val="22"/>
          <w:lang w:eastAsia="es-MX"/>
        </w:rPr>
        <w:t xml:space="preserve">, es decir, que aun cuando no son efectivo, serán recuperables en el transcurso </w:t>
      </w:r>
      <w:r>
        <w:rPr>
          <w:rFonts w:eastAsia="Times New Roman" w:cs="Times New Roman"/>
          <w:color w:val="000000"/>
          <w:sz w:val="22"/>
          <w:szCs w:val="22"/>
          <w:lang w:eastAsia="es-MX"/>
        </w:rPr>
        <w:t>del año</w:t>
      </w:r>
      <w:r w:rsidRPr="00CA4F75">
        <w:rPr>
          <w:rFonts w:eastAsia="Times New Roman" w:cs="Times New Roman"/>
          <w:color w:val="000000"/>
          <w:sz w:val="22"/>
          <w:szCs w:val="22"/>
          <w:lang w:eastAsia="es-MX"/>
        </w:rPr>
        <w:t>, a continuación, se muestra su integración:</w:t>
      </w:r>
    </w:p>
    <w:p w14:paraId="0A9E3AA8" w14:textId="1548F7E8" w:rsidR="00B82D70" w:rsidRPr="00B4230F" w:rsidRDefault="004F6490" w:rsidP="00B4230F">
      <w:pPr>
        <w:widowControl w:val="0"/>
        <w:tabs>
          <w:tab w:val="left" w:pos="945"/>
        </w:tabs>
        <w:kinsoku w:val="0"/>
        <w:spacing w:before="120" w:after="120"/>
        <w:ind w:left="284"/>
        <w:contextualSpacing/>
        <w:jc w:val="center"/>
        <w:rPr>
          <w:rFonts w:eastAsia="Times New Roman" w:cs="Times New Roman"/>
          <w:color w:val="833C0B"/>
          <w:lang w:eastAsia="es-MX"/>
        </w:rPr>
      </w:pPr>
      <w:r w:rsidRPr="004F6490">
        <w:rPr>
          <w:noProof/>
        </w:rPr>
        <w:lastRenderedPageBreak/>
        <w:drawing>
          <wp:inline distT="0" distB="0" distL="0" distR="0" wp14:anchorId="14E8E63B" wp14:editId="66A20AA7">
            <wp:extent cx="6351270" cy="129730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6351270" cy="1297305"/>
                    </a:xfrm>
                    <a:prstGeom prst="rect">
                      <a:avLst/>
                    </a:prstGeom>
                    <a:noFill/>
                    <a:ln>
                      <a:noFill/>
                    </a:ln>
                  </pic:spPr>
                </pic:pic>
              </a:graphicData>
            </a:graphic>
          </wp:inline>
        </w:drawing>
      </w:r>
    </w:p>
    <w:p w14:paraId="733CF44D" w14:textId="77777777" w:rsidR="00B82D70" w:rsidRPr="00D258F6"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D258F6">
        <w:rPr>
          <w:rFonts w:eastAsia="Times New Roman" w:cs="Times New Roman"/>
          <w:b/>
          <w:color w:val="000000"/>
          <w:sz w:val="22"/>
          <w:szCs w:val="22"/>
          <w:lang w:eastAsia="es-MX"/>
        </w:rPr>
        <w:t>Cuentas por cobrar a corto plazo:</w:t>
      </w:r>
    </w:p>
    <w:p w14:paraId="1F50DC79" w14:textId="340EA4E4" w:rsidR="00B82D70" w:rsidRPr="00B4230F" w:rsidRDefault="00B82D70">
      <w:pPr>
        <w:widowControl w:val="0"/>
        <w:numPr>
          <w:ilvl w:val="0"/>
          <w:numId w:val="2"/>
        </w:numPr>
        <w:spacing w:before="120" w:after="120"/>
        <w:ind w:left="1418" w:hanging="425"/>
        <w:rPr>
          <w:rFonts w:eastAsia="Times New Roman" w:cs="Times New Roman"/>
          <w:sz w:val="22"/>
          <w:szCs w:val="22"/>
          <w:lang w:eastAsia="es-MX"/>
        </w:rPr>
      </w:pPr>
      <w:r w:rsidRPr="00BC4D77">
        <w:rPr>
          <w:rFonts w:eastAsia="Times New Roman" w:cs="Times New Roman"/>
          <w:sz w:val="22"/>
          <w:szCs w:val="22"/>
          <w:lang w:eastAsia="es-MX"/>
        </w:rPr>
        <w:t xml:space="preserve">Estas cuentas reflejan el saldo de los ingresos federales devengados a favor del Estado conforme a lo establecido por la Ley General de Contabilidad Gubernamental, que al cierre del </w:t>
      </w:r>
      <w:r w:rsidR="00387CC6">
        <w:rPr>
          <w:rFonts w:eastAsia="Times New Roman" w:cs="Times New Roman"/>
          <w:sz w:val="22"/>
          <w:szCs w:val="22"/>
          <w:lang w:eastAsia="es-MX"/>
        </w:rPr>
        <w:t>ejercicio</w:t>
      </w:r>
      <w:r w:rsidRPr="00BC4D77">
        <w:rPr>
          <w:rFonts w:eastAsia="Times New Roman" w:cs="Times New Roman"/>
          <w:sz w:val="22"/>
          <w:szCs w:val="22"/>
          <w:lang w:eastAsia="es-MX"/>
        </w:rPr>
        <w:t xml:space="preserve"> se encuentran en trámite de recaudación.</w:t>
      </w:r>
    </w:p>
    <w:p w14:paraId="7C26CCBE" w14:textId="77777777" w:rsidR="00B82D70"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 xml:space="preserve">Deudores Diversos por cobrar a corto plazo: </w:t>
      </w:r>
    </w:p>
    <w:p w14:paraId="77899D77" w14:textId="62590F0B" w:rsidR="00B82D70" w:rsidRPr="007E286C" w:rsidRDefault="00B82D70">
      <w:pPr>
        <w:widowControl w:val="0"/>
        <w:numPr>
          <w:ilvl w:val="0"/>
          <w:numId w:val="2"/>
        </w:numPr>
        <w:spacing w:before="0" w:after="0"/>
        <w:ind w:left="1495"/>
        <w:rPr>
          <w:rFonts w:eastAsia="Times New Roman" w:cs="Times New Roman"/>
          <w:sz w:val="22"/>
          <w:szCs w:val="22"/>
          <w:lang w:eastAsia="es-MX"/>
        </w:rPr>
      </w:pPr>
      <w:r w:rsidRPr="007E286C">
        <w:rPr>
          <w:rFonts w:eastAsia="Times New Roman" w:cs="Times New Roman"/>
          <w:sz w:val="22"/>
          <w:szCs w:val="22"/>
          <w:lang w:eastAsia="es-MX"/>
        </w:rPr>
        <w:t>El saldo de este rubro, lo constituyen los préstamos que adeudan las distintas Unidades Programáticas Presupuestarias a cuenta de su presupuesto</w:t>
      </w:r>
      <w:r w:rsidR="00485F96">
        <w:rPr>
          <w:rFonts w:eastAsia="Times New Roman" w:cs="Times New Roman"/>
          <w:sz w:val="22"/>
          <w:szCs w:val="22"/>
          <w:lang w:eastAsia="es-MX"/>
        </w:rPr>
        <w:t xml:space="preserve"> a través de documentos de pago provisionales y que no han regularizado, </w:t>
      </w:r>
      <w:r w:rsidRPr="007E286C">
        <w:rPr>
          <w:rFonts w:eastAsia="Times New Roman" w:cs="Times New Roman"/>
          <w:sz w:val="22"/>
          <w:szCs w:val="22"/>
          <w:lang w:eastAsia="es-MX"/>
        </w:rPr>
        <w:t>así mismo, se incluyen en este mismo rubro, los adeudos por descuentos que la Federación hace al Estado de sus participaciones Federales</w:t>
      </w:r>
      <w:r w:rsidR="00E52CD9">
        <w:rPr>
          <w:rFonts w:eastAsia="Times New Roman" w:cs="Times New Roman"/>
          <w:sz w:val="22"/>
          <w:szCs w:val="22"/>
          <w:lang w:eastAsia="es-MX"/>
        </w:rPr>
        <w:t>,</w:t>
      </w:r>
      <w:r w:rsidRPr="007E286C">
        <w:rPr>
          <w:rFonts w:eastAsia="Times New Roman" w:cs="Times New Roman"/>
          <w:sz w:val="22"/>
          <w:szCs w:val="22"/>
          <w:lang w:eastAsia="es-MX"/>
        </w:rPr>
        <w:t xml:space="preserve"> por adeudos al I</w:t>
      </w:r>
      <w:r>
        <w:rPr>
          <w:rFonts w:eastAsia="Times New Roman" w:cs="Times New Roman"/>
          <w:sz w:val="22"/>
          <w:szCs w:val="22"/>
          <w:lang w:eastAsia="es-MX"/>
        </w:rPr>
        <w:t>nstituto Mexicano del Seguro Social y al</w:t>
      </w:r>
      <w:r w:rsidRPr="007E286C">
        <w:rPr>
          <w:rFonts w:eastAsia="Times New Roman" w:cs="Times New Roman"/>
          <w:sz w:val="22"/>
          <w:szCs w:val="22"/>
          <w:lang w:eastAsia="es-MX"/>
        </w:rPr>
        <w:t xml:space="preserve"> </w:t>
      </w:r>
      <w:r w:rsidRPr="005A5120">
        <w:rPr>
          <w:rFonts w:eastAsia="Calibri" w:cs="Times New Roman"/>
          <w:color w:val="000000"/>
          <w:sz w:val="22"/>
          <w:szCs w:val="22"/>
        </w:rPr>
        <w:t>Instituto de Seguridad y Servicios Sociales de los</w:t>
      </w:r>
      <w:r>
        <w:rPr>
          <w:rFonts w:eastAsia="Calibri" w:cs="Times New Roman"/>
          <w:color w:val="000000"/>
          <w:sz w:val="22"/>
          <w:szCs w:val="22"/>
        </w:rPr>
        <w:t xml:space="preserve"> Trabajadores del Estado</w:t>
      </w:r>
      <w:r w:rsidR="00E52CD9">
        <w:rPr>
          <w:rFonts w:eastAsia="Calibri" w:cs="Times New Roman"/>
          <w:color w:val="000000"/>
          <w:sz w:val="22"/>
          <w:szCs w:val="22"/>
        </w:rPr>
        <w:t>,</w:t>
      </w:r>
      <w:r w:rsidRPr="007E286C">
        <w:rPr>
          <w:rFonts w:eastAsia="Times New Roman" w:cs="Times New Roman"/>
          <w:sz w:val="22"/>
          <w:szCs w:val="22"/>
          <w:lang w:eastAsia="es-MX"/>
        </w:rPr>
        <w:t xml:space="preserve"> </w:t>
      </w:r>
      <w:r w:rsidR="00E52CD9">
        <w:rPr>
          <w:rFonts w:eastAsia="Times New Roman" w:cs="Times New Roman"/>
          <w:sz w:val="22"/>
          <w:szCs w:val="22"/>
          <w:lang w:eastAsia="es-MX"/>
        </w:rPr>
        <w:t>de las entidades y municipios,</w:t>
      </w:r>
      <w:r w:rsidRPr="007E286C">
        <w:rPr>
          <w:rFonts w:eastAsia="Times New Roman" w:cs="Times New Roman"/>
          <w:sz w:val="22"/>
          <w:szCs w:val="22"/>
          <w:lang w:eastAsia="es-MX"/>
        </w:rPr>
        <w:t xml:space="preserve"> y que al 3</w:t>
      </w:r>
      <w:r w:rsidR="0069489D">
        <w:rPr>
          <w:rFonts w:eastAsia="Times New Roman" w:cs="Times New Roman"/>
          <w:sz w:val="22"/>
          <w:szCs w:val="22"/>
          <w:lang w:eastAsia="es-MX"/>
        </w:rPr>
        <w:t>1</w:t>
      </w:r>
      <w:r w:rsidRPr="007E286C">
        <w:rPr>
          <w:rFonts w:eastAsia="Times New Roman" w:cs="Times New Roman"/>
          <w:sz w:val="22"/>
          <w:szCs w:val="22"/>
          <w:lang w:eastAsia="es-MX"/>
        </w:rPr>
        <w:t xml:space="preserve"> de </w:t>
      </w:r>
      <w:r>
        <w:rPr>
          <w:rFonts w:eastAsia="Times New Roman" w:cs="Times New Roman"/>
          <w:sz w:val="22"/>
          <w:szCs w:val="22"/>
          <w:lang w:eastAsia="es-MX"/>
        </w:rPr>
        <w:t xml:space="preserve"> </w:t>
      </w:r>
      <w:r w:rsidR="0069489D">
        <w:rPr>
          <w:rFonts w:eastAsia="Times New Roman" w:cs="Times New Roman"/>
          <w:sz w:val="22"/>
          <w:szCs w:val="22"/>
          <w:lang w:eastAsia="es-MX"/>
        </w:rPr>
        <w:t>diciembre</w:t>
      </w:r>
      <w:r>
        <w:rPr>
          <w:rFonts w:eastAsia="Times New Roman" w:cs="Times New Roman"/>
          <w:sz w:val="22"/>
          <w:szCs w:val="22"/>
          <w:lang w:eastAsia="es-MX"/>
        </w:rPr>
        <w:t xml:space="preserve"> </w:t>
      </w:r>
      <w:r w:rsidRPr="007E286C">
        <w:rPr>
          <w:rFonts w:eastAsia="Times New Roman" w:cs="Times New Roman"/>
          <w:sz w:val="22"/>
          <w:szCs w:val="22"/>
          <w:lang w:eastAsia="es-MX"/>
        </w:rPr>
        <w:t>de 202</w:t>
      </w:r>
      <w:r w:rsidR="00395558">
        <w:rPr>
          <w:rFonts w:eastAsia="Times New Roman" w:cs="Times New Roman"/>
          <w:sz w:val="22"/>
          <w:szCs w:val="22"/>
          <w:lang w:eastAsia="es-MX"/>
        </w:rPr>
        <w:t>2</w:t>
      </w:r>
      <w:r w:rsidRPr="007E286C">
        <w:rPr>
          <w:rFonts w:eastAsia="Times New Roman" w:cs="Times New Roman"/>
          <w:sz w:val="22"/>
          <w:szCs w:val="22"/>
          <w:lang w:eastAsia="es-MX"/>
        </w:rPr>
        <w:t xml:space="preserve"> no regularizaron, además, de los adeudos de terceros comerciales por concepto de cheques cancelados de nóminas.</w:t>
      </w:r>
    </w:p>
    <w:p w14:paraId="11A39D9B" w14:textId="30A4457D" w:rsidR="00C0303A" w:rsidRPr="00395558" w:rsidRDefault="00B82D70">
      <w:pPr>
        <w:widowControl w:val="0"/>
        <w:numPr>
          <w:ilvl w:val="0"/>
          <w:numId w:val="2"/>
        </w:numPr>
        <w:spacing w:before="0" w:after="0"/>
        <w:ind w:left="1418" w:hanging="425"/>
        <w:rPr>
          <w:sz w:val="22"/>
          <w:szCs w:val="22"/>
        </w:rPr>
      </w:pPr>
      <w:r w:rsidRPr="00D258F6">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4CE204DF" w14:textId="77777777" w:rsidR="00B82D70" w:rsidRPr="007E286C" w:rsidRDefault="00B82D70" w:rsidP="00B82D70">
      <w:pPr>
        <w:widowControl w:val="0"/>
        <w:spacing w:before="0" w:after="0"/>
        <w:rPr>
          <w:rFonts w:eastAsia="Times New Roman" w:cs="Times New Roman"/>
          <w:sz w:val="22"/>
          <w:szCs w:val="22"/>
          <w:lang w:eastAsia="es-MX"/>
        </w:rPr>
      </w:pPr>
    </w:p>
    <w:p w14:paraId="15E1B662" w14:textId="77777777" w:rsidR="00B82D70" w:rsidRDefault="00B82D70">
      <w:pPr>
        <w:widowControl w:val="0"/>
        <w:numPr>
          <w:ilvl w:val="0"/>
          <w:numId w:val="2"/>
        </w:numPr>
        <w:kinsoku w:val="0"/>
        <w:spacing w:before="0" w:after="0"/>
        <w:ind w:left="1418" w:hanging="425"/>
        <w:contextualSpacing/>
        <w:rPr>
          <w:rFonts w:eastAsia="Times New Roman" w:cs="Times New Roman"/>
          <w:sz w:val="22"/>
          <w:szCs w:val="22"/>
          <w:lang w:eastAsia="es-MX"/>
        </w:rPr>
      </w:pPr>
      <w:r w:rsidRPr="007E286C">
        <w:rPr>
          <w:rFonts w:eastAsia="Times New Roman" w:cs="Times New Roman"/>
          <w:sz w:val="22"/>
          <w:szCs w:val="22"/>
          <w:lang w:eastAsia="es-MX"/>
        </w:rPr>
        <w:lastRenderedPageBreak/>
        <w:t>De igual manera, se registran en esta cuenta las responsabilidades pendientes de solventar por parte de los funcionarios de la Administración Pública Estatal, responsables de la recaudación y el manejo de fondos.</w:t>
      </w:r>
    </w:p>
    <w:p w14:paraId="42D7D12B" w14:textId="77777777" w:rsidR="00B82D70" w:rsidRPr="00BD552C"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BD552C">
        <w:rPr>
          <w:rFonts w:eastAsia="Times New Roman" w:cs="Times New Roman"/>
          <w:b/>
          <w:color w:val="000000"/>
          <w:sz w:val="22"/>
          <w:szCs w:val="22"/>
          <w:lang w:eastAsia="es-MX"/>
        </w:rPr>
        <w:t>Ingresos por recuperar a corto plazo</w:t>
      </w:r>
      <w:r>
        <w:rPr>
          <w:rFonts w:eastAsia="Times New Roman" w:cs="Times New Roman"/>
          <w:b/>
          <w:color w:val="000000"/>
          <w:sz w:val="22"/>
          <w:szCs w:val="22"/>
          <w:lang w:eastAsia="es-MX"/>
        </w:rPr>
        <w:t>:</w:t>
      </w:r>
    </w:p>
    <w:p w14:paraId="0C118EEA" w14:textId="5642A29A" w:rsidR="00B82D70" w:rsidRPr="00B4230F" w:rsidRDefault="00B82D70">
      <w:pPr>
        <w:widowControl w:val="0"/>
        <w:numPr>
          <w:ilvl w:val="0"/>
          <w:numId w:val="2"/>
        </w:numPr>
        <w:spacing w:before="120" w:after="120"/>
        <w:ind w:left="1418" w:hanging="425"/>
        <w:rPr>
          <w:rFonts w:eastAsia="Times New Roman" w:cs="Times New Roman"/>
          <w:sz w:val="22"/>
          <w:szCs w:val="22"/>
          <w:lang w:eastAsia="es-MX"/>
        </w:rPr>
      </w:pPr>
      <w:r w:rsidRPr="00B57116">
        <w:rPr>
          <w:rFonts w:eastAsia="Times New Roman" w:cs="Times New Roman"/>
          <w:sz w:val="22"/>
          <w:szCs w:val="22"/>
          <w:lang w:eastAsia="es-MX"/>
        </w:rPr>
        <w:t>Esta cuenta</w:t>
      </w:r>
      <w:r>
        <w:rPr>
          <w:rFonts w:eastAsia="Times New Roman" w:cs="Times New Roman"/>
          <w:sz w:val="22"/>
          <w:szCs w:val="22"/>
          <w:lang w:eastAsia="es-MX"/>
        </w:rPr>
        <w:t>,</w:t>
      </w:r>
      <w:r w:rsidRPr="00B57116">
        <w:rPr>
          <w:rFonts w:eastAsia="Times New Roman" w:cs="Times New Roman"/>
          <w:sz w:val="22"/>
          <w:szCs w:val="22"/>
          <w:lang w:eastAsia="es-MX"/>
        </w:rPr>
        <w:t xml:space="preserve"> refleja el saldo de los ingresos estatales devengados a favor del Estado conforme a lo establecido por la L</w:t>
      </w:r>
      <w:r>
        <w:rPr>
          <w:rFonts w:eastAsia="Times New Roman" w:cs="Times New Roman"/>
          <w:sz w:val="22"/>
          <w:szCs w:val="22"/>
          <w:lang w:eastAsia="es-MX"/>
        </w:rPr>
        <w:t xml:space="preserve">ey </w:t>
      </w:r>
      <w:r w:rsidRPr="00B57116">
        <w:rPr>
          <w:rFonts w:eastAsia="Times New Roman" w:cs="Times New Roman"/>
          <w:sz w:val="22"/>
          <w:szCs w:val="22"/>
          <w:lang w:eastAsia="es-MX"/>
        </w:rPr>
        <w:t>G</w:t>
      </w:r>
      <w:r>
        <w:rPr>
          <w:rFonts w:eastAsia="Times New Roman" w:cs="Times New Roman"/>
          <w:sz w:val="22"/>
          <w:szCs w:val="22"/>
          <w:lang w:eastAsia="es-MX"/>
        </w:rPr>
        <w:t xml:space="preserve">eneral de </w:t>
      </w:r>
      <w:r w:rsidRPr="00B57116">
        <w:rPr>
          <w:rFonts w:eastAsia="Times New Roman" w:cs="Times New Roman"/>
          <w:sz w:val="22"/>
          <w:szCs w:val="22"/>
          <w:lang w:eastAsia="es-MX"/>
        </w:rPr>
        <w:t>C</w:t>
      </w:r>
      <w:r>
        <w:rPr>
          <w:rFonts w:eastAsia="Times New Roman" w:cs="Times New Roman"/>
          <w:sz w:val="22"/>
          <w:szCs w:val="22"/>
          <w:lang w:eastAsia="es-MX"/>
        </w:rPr>
        <w:t xml:space="preserve">ontabilidad </w:t>
      </w:r>
      <w:r w:rsidRPr="00B57116">
        <w:rPr>
          <w:rFonts w:eastAsia="Times New Roman" w:cs="Times New Roman"/>
          <w:sz w:val="22"/>
          <w:szCs w:val="22"/>
          <w:lang w:eastAsia="es-MX"/>
        </w:rPr>
        <w:t>G</w:t>
      </w:r>
      <w:r>
        <w:rPr>
          <w:rFonts w:eastAsia="Times New Roman" w:cs="Times New Roman"/>
          <w:sz w:val="22"/>
          <w:szCs w:val="22"/>
          <w:lang w:eastAsia="es-MX"/>
        </w:rPr>
        <w:t xml:space="preserve">ubernamental </w:t>
      </w:r>
      <w:r w:rsidRPr="00B57116">
        <w:rPr>
          <w:rFonts w:eastAsia="Times New Roman" w:cs="Times New Roman"/>
          <w:sz w:val="22"/>
          <w:szCs w:val="22"/>
          <w:lang w:eastAsia="es-MX"/>
        </w:rPr>
        <w:t>que, al cierre del per</w:t>
      </w:r>
      <w:r>
        <w:rPr>
          <w:rFonts w:eastAsia="Times New Roman" w:cs="Times New Roman"/>
          <w:sz w:val="22"/>
          <w:szCs w:val="22"/>
          <w:lang w:eastAsia="es-MX"/>
        </w:rPr>
        <w:t>í</w:t>
      </w:r>
      <w:r w:rsidRPr="00B57116">
        <w:rPr>
          <w:rFonts w:eastAsia="Times New Roman" w:cs="Times New Roman"/>
          <w:sz w:val="22"/>
          <w:szCs w:val="22"/>
          <w:lang w:eastAsia="es-MX"/>
        </w:rPr>
        <w:t>odo</w:t>
      </w:r>
      <w:r>
        <w:rPr>
          <w:rFonts w:eastAsia="Times New Roman" w:cs="Times New Roman"/>
          <w:sz w:val="22"/>
          <w:szCs w:val="22"/>
          <w:lang w:eastAsia="es-MX"/>
        </w:rPr>
        <w:t>,</w:t>
      </w:r>
      <w:r w:rsidRPr="00B57116">
        <w:rPr>
          <w:rFonts w:eastAsia="Times New Roman" w:cs="Times New Roman"/>
          <w:sz w:val="22"/>
          <w:szCs w:val="22"/>
          <w:lang w:eastAsia="es-MX"/>
        </w:rPr>
        <w:t xml:space="preserve"> se encuentran en trámite de recaudación</w:t>
      </w:r>
      <w:r>
        <w:rPr>
          <w:rFonts w:eastAsia="Times New Roman" w:cs="Times New Roman"/>
          <w:sz w:val="22"/>
          <w:szCs w:val="22"/>
          <w:lang w:eastAsia="es-MX"/>
        </w:rPr>
        <w:t>.</w:t>
      </w:r>
    </w:p>
    <w:p w14:paraId="18A47084" w14:textId="0675F26A" w:rsidR="00B82D70"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Deudores por anticipos</w:t>
      </w:r>
      <w:r w:rsidR="006918EB">
        <w:rPr>
          <w:rFonts w:eastAsia="Times New Roman" w:cs="Times New Roman"/>
          <w:b/>
          <w:color w:val="000000"/>
          <w:sz w:val="22"/>
          <w:szCs w:val="22"/>
          <w:lang w:eastAsia="es-MX"/>
        </w:rPr>
        <w:t xml:space="preserve"> de Tesorería</w:t>
      </w:r>
      <w:r w:rsidRPr="007E286C">
        <w:rPr>
          <w:rFonts w:eastAsia="Times New Roman" w:cs="Times New Roman"/>
          <w:b/>
          <w:color w:val="000000"/>
          <w:sz w:val="22"/>
          <w:szCs w:val="22"/>
          <w:lang w:eastAsia="es-MX"/>
        </w:rPr>
        <w:t xml:space="preserve"> a corto plazo:</w:t>
      </w:r>
    </w:p>
    <w:p w14:paraId="190EC017" w14:textId="761D3891" w:rsidR="00B82D70" w:rsidRPr="00B4230F" w:rsidRDefault="00B82D70">
      <w:pPr>
        <w:pStyle w:val="Prrafodelista"/>
        <w:numPr>
          <w:ilvl w:val="0"/>
          <w:numId w:val="2"/>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Corresponde a los fondos revolventes asignados a las dependencias para su operación.</w:t>
      </w:r>
    </w:p>
    <w:p w14:paraId="65EBFBB5" w14:textId="77777777" w:rsidR="00B82D70" w:rsidRDefault="00B82D70" w:rsidP="00B82D70">
      <w:pPr>
        <w:widowControl w:val="0"/>
        <w:kinsoku w:val="0"/>
        <w:spacing w:before="0" w:after="0"/>
        <w:ind w:left="426"/>
        <w:contextualSpacing/>
        <w:rPr>
          <w:rFonts w:eastAsia="Times New Roman" w:cs="Times New Roman"/>
          <w:b/>
          <w:sz w:val="22"/>
          <w:szCs w:val="22"/>
          <w:lang w:eastAsia="es-MX"/>
        </w:rPr>
      </w:pPr>
      <w:r w:rsidRPr="007E286C">
        <w:rPr>
          <w:rFonts w:eastAsia="Times New Roman" w:cs="Times New Roman"/>
          <w:b/>
          <w:sz w:val="22"/>
          <w:szCs w:val="22"/>
          <w:lang w:eastAsia="es-MX"/>
        </w:rPr>
        <w:t>Préstamos otorgados a corto plazo:</w:t>
      </w:r>
    </w:p>
    <w:p w14:paraId="6FF60A2F" w14:textId="478D5346" w:rsidR="00B82D70" w:rsidRPr="00B4230F" w:rsidRDefault="00B82D70">
      <w:pPr>
        <w:pStyle w:val="Prrafodelista"/>
        <w:numPr>
          <w:ilvl w:val="0"/>
          <w:numId w:val="2"/>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4CF19BF8" w14:textId="77777777" w:rsidR="00B82D70" w:rsidRPr="007E286C" w:rsidRDefault="00B82D70" w:rsidP="00B82D70">
      <w:pPr>
        <w:widowControl w:val="0"/>
        <w:kinsoku w:val="0"/>
        <w:spacing w:before="0" w:after="0"/>
        <w:ind w:left="426"/>
        <w:contextualSpacing/>
        <w:rPr>
          <w:rFonts w:eastAsia="Times New Roman" w:cs="Times New Roman"/>
          <w:b/>
          <w:sz w:val="22"/>
          <w:szCs w:val="22"/>
          <w:lang w:eastAsia="es-MX"/>
        </w:rPr>
      </w:pPr>
      <w:r w:rsidRPr="007E286C">
        <w:rPr>
          <w:rFonts w:eastAsia="Times New Roman" w:cs="Times New Roman"/>
          <w:b/>
          <w:sz w:val="22"/>
          <w:szCs w:val="22"/>
          <w:lang w:eastAsia="es-MX"/>
        </w:rPr>
        <w:t>Otros derechos a recibir efectivo o equivalentes a corto plazo:</w:t>
      </w:r>
    </w:p>
    <w:p w14:paraId="55F277E0" w14:textId="573CFC12" w:rsidR="00B82D70" w:rsidRDefault="00B82D70">
      <w:pPr>
        <w:pStyle w:val="Prrafodelista"/>
        <w:numPr>
          <w:ilvl w:val="0"/>
          <w:numId w:val="2"/>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72A636AA" w14:textId="60576261" w:rsidR="00A71085" w:rsidRPr="0029041D" w:rsidRDefault="00A71085" w:rsidP="00A71085">
      <w:pPr>
        <w:rPr>
          <w:b/>
          <w:bCs/>
          <w:sz w:val="22"/>
          <w:szCs w:val="22"/>
          <w:lang w:val="es-MX"/>
        </w:rPr>
      </w:pPr>
      <w:r w:rsidRPr="0029041D">
        <w:rPr>
          <w:b/>
          <w:bCs/>
          <w:sz w:val="22"/>
          <w:szCs w:val="22"/>
          <w:lang w:val="es-MX"/>
        </w:rPr>
        <w:t>BIENES DISPONIBLES PARA SU TRANSFORMACIÓN O CONSUMO (INVENTARIOS)</w:t>
      </w:r>
    </w:p>
    <w:p w14:paraId="08701FC0" w14:textId="4876E766" w:rsidR="00A71085" w:rsidRPr="00E7156D" w:rsidRDefault="00A71085" w:rsidP="00A71085">
      <w:pPr>
        <w:rPr>
          <w:b/>
          <w:bCs/>
          <w:sz w:val="22"/>
          <w:szCs w:val="22"/>
          <w:lang w:val="es-MX"/>
        </w:rPr>
      </w:pPr>
      <w:r w:rsidRPr="00E7156D">
        <w:rPr>
          <w:b/>
          <w:bCs/>
          <w:sz w:val="22"/>
          <w:szCs w:val="22"/>
          <w:lang w:val="es-MX"/>
        </w:rPr>
        <w:t>4.- BIENES DISPONIBLES PARA SU TRANSFORMACIÓN</w:t>
      </w:r>
    </w:p>
    <w:p w14:paraId="28B5A746" w14:textId="51533FBB" w:rsidR="00623CDF" w:rsidRDefault="00A71085" w:rsidP="00A71085">
      <w:pPr>
        <w:rPr>
          <w:sz w:val="22"/>
          <w:szCs w:val="22"/>
          <w:lang w:val="es-MX"/>
        </w:rPr>
      </w:pPr>
      <w:r>
        <w:rPr>
          <w:sz w:val="22"/>
          <w:szCs w:val="22"/>
          <w:lang w:val="es-MX"/>
        </w:rPr>
        <w:t>Esta nota no aplica, en vista de que el Gobierno del Estado de Michoacán</w:t>
      </w:r>
      <w:r w:rsidR="00623CDF">
        <w:rPr>
          <w:sz w:val="22"/>
          <w:szCs w:val="22"/>
          <w:lang w:val="es-MX"/>
        </w:rPr>
        <w:t xml:space="preserve"> no transforma bienes.</w:t>
      </w:r>
    </w:p>
    <w:p w14:paraId="1033FE9F" w14:textId="2A37C4DB" w:rsidR="00623CDF" w:rsidRPr="00E7156D" w:rsidRDefault="00623CDF" w:rsidP="00A71085">
      <w:pPr>
        <w:rPr>
          <w:b/>
          <w:bCs/>
          <w:sz w:val="22"/>
          <w:szCs w:val="22"/>
          <w:lang w:val="es-MX"/>
        </w:rPr>
      </w:pPr>
      <w:r w:rsidRPr="00E7156D">
        <w:rPr>
          <w:b/>
          <w:bCs/>
          <w:sz w:val="22"/>
          <w:szCs w:val="22"/>
          <w:lang w:val="es-MX"/>
        </w:rPr>
        <w:lastRenderedPageBreak/>
        <w:t>5.- ALMACÉN</w:t>
      </w:r>
    </w:p>
    <w:p w14:paraId="3887CB51" w14:textId="1F8BCD64" w:rsidR="00623CDF" w:rsidRDefault="00623CDF" w:rsidP="00A71085">
      <w:pPr>
        <w:rPr>
          <w:sz w:val="22"/>
          <w:szCs w:val="22"/>
          <w:lang w:val="es-MX"/>
        </w:rPr>
      </w:pPr>
      <w:r>
        <w:rPr>
          <w:sz w:val="22"/>
          <w:szCs w:val="22"/>
          <w:lang w:val="es-MX"/>
        </w:rPr>
        <w:t>El saldo por 578 mil 456 pesos de la cuenta de almacenes corresponde a las existencias de materiales y útiles de oficina, materiales para el procesamiento de equipos informáticos, material eléctrico y electrónico, así como de herramientas menores.</w:t>
      </w:r>
    </w:p>
    <w:p w14:paraId="66F8F11C" w14:textId="34AAC509" w:rsidR="00623CDF" w:rsidRPr="00A71085" w:rsidRDefault="00987B30" w:rsidP="00A71085">
      <w:pPr>
        <w:rPr>
          <w:sz w:val="22"/>
          <w:szCs w:val="22"/>
          <w:lang w:val="es-MX"/>
        </w:rPr>
      </w:pPr>
      <w:r w:rsidRPr="00987B30">
        <w:rPr>
          <w:noProof/>
        </w:rPr>
        <w:drawing>
          <wp:inline distT="0" distB="0" distL="0" distR="0" wp14:anchorId="737E020C" wp14:editId="1593AC60">
            <wp:extent cx="6351270" cy="975360"/>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429A2980" w14:textId="3F9B9E6F" w:rsidR="001F3AA2" w:rsidRDefault="001F3AA2" w:rsidP="00B82D70">
      <w:pPr>
        <w:spacing w:before="0" w:after="0"/>
        <w:rPr>
          <w:rFonts w:eastAsia="Times New Roman" w:cs="Times New Roman"/>
          <w:b/>
          <w:color w:val="000000"/>
          <w:sz w:val="22"/>
          <w:szCs w:val="22"/>
          <w:lang w:eastAsia="es-MX"/>
        </w:rPr>
      </w:pPr>
      <w:r>
        <w:rPr>
          <w:rFonts w:eastAsia="Times New Roman" w:cs="Times New Roman"/>
          <w:b/>
          <w:color w:val="000000"/>
          <w:sz w:val="22"/>
          <w:szCs w:val="22"/>
          <w:lang w:eastAsia="es-MX"/>
        </w:rPr>
        <w:t>INVERSIONES FINANCIERAS</w:t>
      </w:r>
    </w:p>
    <w:p w14:paraId="7A3281E6" w14:textId="1803FF10" w:rsidR="001F3AA2" w:rsidRPr="00E7156D" w:rsidRDefault="001F3AA2" w:rsidP="001F3AA2">
      <w:pPr>
        <w:spacing w:before="0" w:after="0"/>
        <w:rPr>
          <w:rFonts w:eastAsia="Times New Roman" w:cs="Times New Roman"/>
          <w:b/>
          <w:bCs/>
          <w:color w:val="000000"/>
          <w:sz w:val="22"/>
          <w:szCs w:val="22"/>
          <w:lang w:eastAsia="es-MX"/>
        </w:rPr>
      </w:pPr>
      <w:r w:rsidRPr="00E7156D">
        <w:rPr>
          <w:rFonts w:eastAsia="Times New Roman" w:cs="Times New Roman"/>
          <w:b/>
          <w:bCs/>
          <w:color w:val="000000"/>
          <w:sz w:val="22"/>
          <w:szCs w:val="22"/>
          <w:lang w:eastAsia="es-MX"/>
        </w:rPr>
        <w:t xml:space="preserve">6. </w:t>
      </w:r>
      <w:r w:rsidR="0029041D" w:rsidRPr="00E7156D">
        <w:rPr>
          <w:rFonts w:eastAsia="Times New Roman" w:cs="Times New Roman"/>
          <w:b/>
          <w:bCs/>
          <w:color w:val="000000"/>
          <w:sz w:val="22"/>
          <w:szCs w:val="22"/>
          <w:lang w:eastAsia="es-MX"/>
        </w:rPr>
        <w:t xml:space="preserve">INVERSIONES FINANCIERAS, </w:t>
      </w:r>
      <w:r w:rsidRPr="00E7156D">
        <w:rPr>
          <w:rFonts w:eastAsia="Times New Roman" w:cs="Times New Roman"/>
          <w:b/>
          <w:bCs/>
          <w:color w:val="000000"/>
          <w:sz w:val="22"/>
          <w:szCs w:val="22"/>
          <w:lang w:eastAsia="es-MX"/>
        </w:rPr>
        <w:t>FIDEICOMISOS, MANDATOS Y ANÁLOGOS</w:t>
      </w:r>
    </w:p>
    <w:p w14:paraId="21A5AD7F" w14:textId="25ACEC45" w:rsidR="001F3AA2" w:rsidRDefault="001F3AA2" w:rsidP="00464F99">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De dichos montos, las inversiones Financieras a largo plazo se integran por 2</w:t>
      </w:r>
      <w:r w:rsidR="00387CC6">
        <w:rPr>
          <w:rFonts w:eastAsia="Times New Roman" w:cs="Times New Roman"/>
          <w:color w:val="000000"/>
          <w:sz w:val="22"/>
          <w:szCs w:val="22"/>
          <w:lang w:eastAsia="es-MX"/>
        </w:rPr>
        <w:t>7</w:t>
      </w:r>
      <w:r>
        <w:rPr>
          <w:rFonts w:eastAsia="Times New Roman" w:cs="Times New Roman"/>
          <w:color w:val="000000"/>
          <w:sz w:val="22"/>
          <w:szCs w:val="22"/>
          <w:lang w:eastAsia="es-MX"/>
        </w:rPr>
        <w:t xml:space="preserve"> mil </w:t>
      </w:r>
      <w:r w:rsidR="00387CC6">
        <w:rPr>
          <w:rFonts w:eastAsia="Times New Roman" w:cs="Times New Roman"/>
          <w:color w:val="000000"/>
          <w:sz w:val="22"/>
          <w:szCs w:val="22"/>
          <w:lang w:eastAsia="es-MX"/>
        </w:rPr>
        <w:t>562</w:t>
      </w:r>
      <w:r>
        <w:rPr>
          <w:rFonts w:eastAsia="Times New Roman" w:cs="Times New Roman"/>
          <w:color w:val="000000"/>
          <w:sz w:val="22"/>
          <w:szCs w:val="22"/>
          <w:lang w:eastAsia="es-MX"/>
        </w:rPr>
        <w:t xml:space="preserve"> millones </w:t>
      </w:r>
      <w:r w:rsidR="00604B42">
        <w:rPr>
          <w:rFonts w:eastAsia="Times New Roman" w:cs="Times New Roman"/>
          <w:color w:val="000000"/>
          <w:sz w:val="22"/>
          <w:szCs w:val="22"/>
          <w:lang w:eastAsia="es-MX"/>
        </w:rPr>
        <w:t>3</w:t>
      </w:r>
      <w:r w:rsidR="00387CC6">
        <w:rPr>
          <w:rFonts w:eastAsia="Times New Roman" w:cs="Times New Roman"/>
          <w:color w:val="000000"/>
          <w:sz w:val="22"/>
          <w:szCs w:val="22"/>
          <w:lang w:eastAsia="es-MX"/>
        </w:rPr>
        <w:t>01</w:t>
      </w:r>
      <w:r>
        <w:rPr>
          <w:rFonts w:eastAsia="Times New Roman" w:cs="Times New Roman"/>
          <w:color w:val="000000"/>
          <w:sz w:val="22"/>
          <w:szCs w:val="22"/>
          <w:lang w:eastAsia="es-MX"/>
        </w:rPr>
        <w:t xml:space="preserve"> mil </w:t>
      </w:r>
      <w:r w:rsidR="00387CC6">
        <w:rPr>
          <w:rFonts w:eastAsia="Times New Roman" w:cs="Times New Roman"/>
          <w:color w:val="000000"/>
          <w:sz w:val="22"/>
          <w:szCs w:val="22"/>
          <w:lang w:eastAsia="es-MX"/>
        </w:rPr>
        <w:t>727</w:t>
      </w:r>
      <w:r>
        <w:rPr>
          <w:rFonts w:eastAsia="Times New Roman" w:cs="Times New Roman"/>
          <w:color w:val="000000"/>
          <w:sz w:val="22"/>
          <w:szCs w:val="22"/>
          <w:lang w:eastAsia="es-MX"/>
        </w:rPr>
        <w:t xml:space="preserve"> pesos que se muestran como sigue: </w:t>
      </w:r>
    </w:p>
    <w:p w14:paraId="51D2E17F" w14:textId="1B1637E3" w:rsidR="001F3AA2" w:rsidRDefault="00C60135" w:rsidP="00464F99">
      <w:pPr>
        <w:widowControl w:val="0"/>
        <w:kinsoku w:val="0"/>
        <w:spacing w:before="0" w:after="0"/>
        <w:contextualSpacing/>
        <w:rPr>
          <w:rFonts w:eastAsia="Times New Roman" w:cs="Times New Roman"/>
          <w:color w:val="000000"/>
          <w:sz w:val="22"/>
          <w:szCs w:val="22"/>
          <w:lang w:eastAsia="es-MX"/>
        </w:rPr>
      </w:pPr>
      <w:r w:rsidRPr="00C60135">
        <w:rPr>
          <w:noProof/>
        </w:rPr>
        <w:drawing>
          <wp:inline distT="0" distB="0" distL="0" distR="0" wp14:anchorId="5E4E57A1" wp14:editId="35DAF286">
            <wp:extent cx="6351270" cy="65278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6351270" cy="652780"/>
                    </a:xfrm>
                    <a:prstGeom prst="rect">
                      <a:avLst/>
                    </a:prstGeom>
                    <a:noFill/>
                    <a:ln>
                      <a:noFill/>
                    </a:ln>
                  </pic:spPr>
                </pic:pic>
              </a:graphicData>
            </a:graphic>
          </wp:inline>
        </w:drawing>
      </w:r>
    </w:p>
    <w:p w14:paraId="44E85F11" w14:textId="78E1764F" w:rsidR="001F3AA2" w:rsidRDefault="001F3AA2" w:rsidP="001F3AA2">
      <w:pPr>
        <w:spacing w:before="0" w:after="0"/>
        <w:rPr>
          <w:rFonts w:eastAsia="Times New Roman" w:cs="Times New Roman"/>
          <w:color w:val="000000"/>
          <w:sz w:val="22"/>
          <w:szCs w:val="22"/>
          <w:lang w:eastAsia="es-MX"/>
        </w:rPr>
      </w:pPr>
      <w:r w:rsidRPr="00525110">
        <w:rPr>
          <w:rFonts w:eastAsia="Times New Roman" w:cs="Times New Roman"/>
          <w:color w:val="000000"/>
          <w:sz w:val="22"/>
          <w:szCs w:val="22"/>
          <w:lang w:eastAsia="es-MX"/>
        </w:rPr>
        <w:t xml:space="preserve">En el mismo sentido, se cuenta con inversiones a largo plazo en fideicomisos financieros que incluyen </w:t>
      </w:r>
      <w:r w:rsidRPr="00A81945">
        <w:rPr>
          <w:rFonts w:eastAsia="Times New Roman" w:cs="Times New Roman"/>
          <w:color w:val="000000"/>
          <w:sz w:val="22"/>
          <w:szCs w:val="22"/>
          <w:lang w:eastAsia="es-MX"/>
        </w:rPr>
        <w:t>las inversiones en estos para garantizar el pago de la deuda y los servicios de la misma</w:t>
      </w:r>
      <w:r>
        <w:rPr>
          <w:rFonts w:eastAsia="Times New Roman" w:cs="Times New Roman"/>
          <w:color w:val="000000"/>
          <w:sz w:val="22"/>
          <w:szCs w:val="22"/>
          <w:lang w:eastAsia="es-MX"/>
        </w:rPr>
        <w:t>, así como fideicomisos no financieros.</w:t>
      </w:r>
    </w:p>
    <w:p w14:paraId="4259CA50" w14:textId="607BC200" w:rsidR="001F3AA2" w:rsidRDefault="001F3AA2" w:rsidP="001F3AA2">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Los fideicomisos financieros son:</w:t>
      </w:r>
    </w:p>
    <w:p w14:paraId="6D32D82F" w14:textId="77777777" w:rsidR="00387CC6" w:rsidRDefault="00387CC6" w:rsidP="001F3AA2">
      <w:pPr>
        <w:spacing w:before="0" w:after="0"/>
        <w:rPr>
          <w:rFonts w:eastAsia="Times New Roman" w:cs="Times New Roman"/>
          <w:color w:val="000000"/>
          <w:sz w:val="22"/>
          <w:szCs w:val="22"/>
          <w:lang w:eastAsia="es-MX"/>
        </w:rPr>
      </w:pPr>
    </w:p>
    <w:p w14:paraId="09B323ED" w14:textId="5E16DBD4" w:rsidR="001F3AA2" w:rsidRPr="00605B6D" w:rsidRDefault="00592775" w:rsidP="001F3AA2">
      <w:pPr>
        <w:spacing w:before="0" w:after="0"/>
        <w:jc w:val="center"/>
        <w:rPr>
          <w:rFonts w:eastAsia="Times New Roman" w:cs="Times New Roman"/>
          <w:color w:val="000000"/>
          <w:sz w:val="22"/>
          <w:szCs w:val="22"/>
          <w:lang w:eastAsia="es-MX"/>
        </w:rPr>
      </w:pPr>
      <w:r w:rsidRPr="00592775">
        <w:rPr>
          <w:noProof/>
        </w:rPr>
        <w:drawing>
          <wp:inline distT="0" distB="0" distL="0" distR="0" wp14:anchorId="22140693" wp14:editId="4EB8F5CD">
            <wp:extent cx="5057775" cy="12001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5057775" cy="1200150"/>
                    </a:xfrm>
                    <a:prstGeom prst="rect">
                      <a:avLst/>
                    </a:prstGeom>
                    <a:noFill/>
                    <a:ln>
                      <a:noFill/>
                    </a:ln>
                  </pic:spPr>
                </pic:pic>
              </a:graphicData>
            </a:graphic>
          </wp:inline>
        </w:drawing>
      </w:r>
    </w:p>
    <w:p w14:paraId="59650C8A" w14:textId="77777777" w:rsidR="00387CC6" w:rsidRDefault="00387CC6" w:rsidP="001F3AA2">
      <w:pPr>
        <w:spacing w:before="0" w:after="0"/>
        <w:rPr>
          <w:rFonts w:eastAsia="Times New Roman" w:cs="Times New Roman"/>
          <w:b/>
          <w:color w:val="000000"/>
          <w:sz w:val="22"/>
          <w:szCs w:val="22"/>
          <w:lang w:eastAsia="es-MX"/>
        </w:rPr>
      </w:pPr>
    </w:p>
    <w:p w14:paraId="2F96ADE1" w14:textId="77777777" w:rsidR="00387CC6" w:rsidRDefault="00387CC6" w:rsidP="001F3AA2">
      <w:pPr>
        <w:spacing w:before="0" w:after="0"/>
        <w:rPr>
          <w:rFonts w:eastAsia="Times New Roman" w:cs="Times New Roman"/>
          <w:b/>
          <w:color w:val="000000"/>
          <w:sz w:val="22"/>
          <w:szCs w:val="22"/>
          <w:lang w:eastAsia="es-MX"/>
        </w:rPr>
      </w:pPr>
    </w:p>
    <w:p w14:paraId="3875EBCD" w14:textId="149EEA7E" w:rsidR="001F3AA2" w:rsidRDefault="001F3AA2" w:rsidP="001F3AA2">
      <w:pPr>
        <w:spacing w:before="0" w:after="0"/>
        <w:rPr>
          <w:rFonts w:eastAsia="Times New Roman" w:cs="Times New Roman"/>
          <w:b/>
          <w:color w:val="000000"/>
          <w:sz w:val="22"/>
          <w:szCs w:val="22"/>
          <w:lang w:eastAsia="es-MX"/>
        </w:rPr>
      </w:pPr>
      <w:r>
        <w:rPr>
          <w:rFonts w:eastAsia="Times New Roman" w:cs="Times New Roman"/>
          <w:b/>
          <w:color w:val="000000"/>
          <w:sz w:val="22"/>
          <w:szCs w:val="22"/>
          <w:lang w:eastAsia="es-MX"/>
        </w:rPr>
        <w:lastRenderedPageBreak/>
        <w:t>Y los fideicomisos no financieros se integran de la siguiente manera:</w:t>
      </w:r>
    </w:p>
    <w:p w14:paraId="583D9FBD" w14:textId="4FB13E3C" w:rsidR="00464F99" w:rsidRPr="0029041D" w:rsidRDefault="00592775" w:rsidP="00C86007">
      <w:pPr>
        <w:spacing w:before="0" w:after="0"/>
        <w:jc w:val="center"/>
        <w:rPr>
          <w:rFonts w:eastAsia="Times New Roman" w:cs="Times New Roman"/>
          <w:bCs/>
          <w:color w:val="000000"/>
          <w:sz w:val="22"/>
          <w:szCs w:val="22"/>
          <w:lang w:eastAsia="es-MX"/>
        </w:rPr>
      </w:pPr>
      <w:r w:rsidRPr="00592775">
        <w:rPr>
          <w:noProof/>
        </w:rPr>
        <w:drawing>
          <wp:inline distT="0" distB="0" distL="0" distR="0" wp14:anchorId="7F0F32F4" wp14:editId="29801339">
            <wp:extent cx="5057775" cy="68389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057775" cy="6838950"/>
                    </a:xfrm>
                    <a:prstGeom prst="rect">
                      <a:avLst/>
                    </a:prstGeom>
                    <a:noFill/>
                    <a:ln>
                      <a:noFill/>
                    </a:ln>
                  </pic:spPr>
                </pic:pic>
              </a:graphicData>
            </a:graphic>
          </wp:inline>
        </w:drawing>
      </w:r>
    </w:p>
    <w:p w14:paraId="108C791B" w14:textId="77777777" w:rsidR="00387CC6" w:rsidRDefault="00387CC6" w:rsidP="00207781">
      <w:pPr>
        <w:spacing w:before="0" w:after="0"/>
        <w:rPr>
          <w:rFonts w:eastAsia="Times New Roman" w:cs="Times New Roman"/>
          <w:bCs/>
          <w:color w:val="000000"/>
          <w:sz w:val="22"/>
          <w:szCs w:val="22"/>
          <w:lang w:eastAsia="es-MX"/>
        </w:rPr>
      </w:pPr>
    </w:p>
    <w:p w14:paraId="7318E9DD" w14:textId="42995CDE" w:rsidR="00207781" w:rsidRPr="0029041D" w:rsidRDefault="00207781" w:rsidP="00207781">
      <w:pPr>
        <w:spacing w:before="0" w:after="0"/>
        <w:rPr>
          <w:rFonts w:eastAsia="Times New Roman" w:cs="Times New Roman"/>
          <w:bCs/>
          <w:color w:val="000000"/>
          <w:sz w:val="22"/>
          <w:szCs w:val="22"/>
          <w:lang w:eastAsia="es-MX"/>
        </w:rPr>
      </w:pPr>
      <w:r w:rsidRPr="0029041D">
        <w:rPr>
          <w:rFonts w:eastAsia="Times New Roman" w:cs="Times New Roman"/>
          <w:bCs/>
          <w:color w:val="000000"/>
          <w:sz w:val="22"/>
          <w:szCs w:val="22"/>
          <w:lang w:eastAsia="es-MX"/>
        </w:rPr>
        <w:lastRenderedPageBreak/>
        <w:t xml:space="preserve">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 aumento de </w:t>
      </w:r>
      <w:r w:rsidR="00592775">
        <w:rPr>
          <w:rFonts w:eastAsia="Times New Roman" w:cs="Times New Roman"/>
          <w:bCs/>
          <w:color w:val="000000"/>
          <w:sz w:val="22"/>
          <w:szCs w:val="22"/>
          <w:lang w:eastAsia="es-MX"/>
        </w:rPr>
        <w:t>809</w:t>
      </w:r>
      <w:r w:rsidRPr="0029041D">
        <w:rPr>
          <w:rFonts w:eastAsia="Times New Roman" w:cs="Times New Roman"/>
          <w:bCs/>
          <w:color w:val="000000"/>
          <w:sz w:val="22"/>
          <w:szCs w:val="22"/>
          <w:lang w:eastAsia="es-MX"/>
        </w:rPr>
        <w:t xml:space="preserve"> millones </w:t>
      </w:r>
      <w:r w:rsidR="00592775">
        <w:rPr>
          <w:rFonts w:eastAsia="Times New Roman" w:cs="Times New Roman"/>
          <w:bCs/>
          <w:color w:val="000000"/>
          <w:sz w:val="22"/>
          <w:szCs w:val="22"/>
          <w:lang w:eastAsia="es-MX"/>
        </w:rPr>
        <w:t>185</w:t>
      </w:r>
      <w:r w:rsidRPr="0029041D">
        <w:rPr>
          <w:rFonts w:eastAsia="Times New Roman" w:cs="Times New Roman"/>
          <w:bCs/>
          <w:color w:val="000000"/>
          <w:sz w:val="22"/>
          <w:szCs w:val="22"/>
          <w:lang w:eastAsia="es-MX"/>
        </w:rPr>
        <w:t xml:space="preserve"> mil </w:t>
      </w:r>
      <w:r w:rsidR="00592775">
        <w:rPr>
          <w:rFonts w:eastAsia="Times New Roman" w:cs="Times New Roman"/>
          <w:bCs/>
          <w:color w:val="000000"/>
          <w:sz w:val="22"/>
          <w:szCs w:val="22"/>
          <w:lang w:eastAsia="es-MX"/>
        </w:rPr>
        <w:t>829</w:t>
      </w:r>
      <w:r w:rsidRPr="0029041D">
        <w:rPr>
          <w:rFonts w:eastAsia="Times New Roman" w:cs="Times New Roman"/>
          <w:bCs/>
          <w:color w:val="000000"/>
          <w:sz w:val="22"/>
          <w:szCs w:val="22"/>
          <w:lang w:eastAsia="es-MX"/>
        </w:rPr>
        <w:t xml:space="preserve"> pesos, correspondientes a la actualización de los saldos en los estados de cuenta, en los casos de fideicomisos financieros y en los Estados de Situación Financiera, correspondientes a la Hacienda Pública/Patrimonio en los casos de los fideicomisos no financieros, lo que representa un </w:t>
      </w:r>
      <w:r w:rsidR="00592775">
        <w:rPr>
          <w:rFonts w:eastAsia="Times New Roman" w:cs="Times New Roman"/>
          <w:bCs/>
          <w:color w:val="000000"/>
          <w:sz w:val="22"/>
          <w:szCs w:val="22"/>
          <w:lang w:eastAsia="es-MX"/>
        </w:rPr>
        <w:t>12.33</w:t>
      </w:r>
      <w:r w:rsidRPr="0029041D">
        <w:rPr>
          <w:rFonts w:eastAsia="Times New Roman" w:cs="Times New Roman"/>
          <w:bCs/>
          <w:color w:val="000000"/>
          <w:sz w:val="22"/>
          <w:szCs w:val="22"/>
          <w:lang w:eastAsia="es-MX"/>
        </w:rPr>
        <w:t>% de variación total, respecto del saldo al 31 de diciembre de 2021.</w:t>
      </w:r>
    </w:p>
    <w:p w14:paraId="1C4F0647" w14:textId="77777777" w:rsidR="00207781" w:rsidRPr="00C86007" w:rsidRDefault="00207781" w:rsidP="00207781">
      <w:pPr>
        <w:spacing w:before="0" w:after="0"/>
        <w:rPr>
          <w:rFonts w:eastAsia="Times New Roman" w:cs="Times New Roman"/>
          <w:b/>
          <w:color w:val="000000"/>
          <w:sz w:val="22"/>
          <w:szCs w:val="22"/>
          <w:lang w:eastAsia="es-MX"/>
        </w:rPr>
      </w:pPr>
    </w:p>
    <w:p w14:paraId="4071F319" w14:textId="6E17AF52" w:rsidR="00C86007" w:rsidRPr="00E7156D" w:rsidRDefault="00C86007" w:rsidP="00B82D70">
      <w:pPr>
        <w:spacing w:before="120" w:after="120"/>
        <w:rPr>
          <w:rFonts w:eastAsia="Calibri" w:cs="Times New Roman"/>
          <w:b/>
          <w:sz w:val="22"/>
          <w:szCs w:val="22"/>
        </w:rPr>
      </w:pPr>
      <w:r w:rsidRPr="00E7156D">
        <w:rPr>
          <w:rFonts w:eastAsia="Calibri" w:cs="Times New Roman"/>
          <w:b/>
          <w:sz w:val="22"/>
          <w:szCs w:val="22"/>
        </w:rPr>
        <w:t>7. Saldos de las participaciones y aportaciones de capital</w:t>
      </w:r>
    </w:p>
    <w:p w14:paraId="0FE5E2FF" w14:textId="1655AFCE" w:rsidR="00207781" w:rsidRDefault="00B82D70" w:rsidP="00592775">
      <w:pPr>
        <w:spacing w:before="120" w:after="120"/>
        <w:rPr>
          <w:rFonts w:eastAsia="Times New Roman" w:cs="Times New Roman"/>
          <w:b/>
          <w:color w:val="000000"/>
          <w:sz w:val="22"/>
          <w:szCs w:val="22"/>
          <w:lang w:eastAsia="es-MX"/>
        </w:rPr>
      </w:pPr>
      <w:r w:rsidRPr="00CD0EB3">
        <w:rPr>
          <w:rFonts w:eastAsia="Calibri" w:cs="Times New Roman"/>
          <w:bCs/>
          <w:sz w:val="22"/>
          <w:szCs w:val="22"/>
        </w:rPr>
        <w:t xml:space="preserve">Se informa la integración del saldo al </w:t>
      </w:r>
      <w:r>
        <w:rPr>
          <w:rFonts w:eastAsia="Calibri" w:cs="Times New Roman"/>
          <w:bCs/>
          <w:sz w:val="22"/>
          <w:szCs w:val="22"/>
        </w:rPr>
        <w:t>3</w:t>
      </w:r>
      <w:r w:rsidR="00892E6E">
        <w:rPr>
          <w:rFonts w:eastAsia="Calibri" w:cs="Times New Roman"/>
          <w:bCs/>
          <w:sz w:val="22"/>
          <w:szCs w:val="22"/>
        </w:rPr>
        <w:t>1</w:t>
      </w:r>
      <w:r>
        <w:rPr>
          <w:rFonts w:eastAsia="Calibri" w:cs="Times New Roman"/>
          <w:bCs/>
          <w:sz w:val="22"/>
          <w:szCs w:val="22"/>
        </w:rPr>
        <w:t xml:space="preserve"> d</w:t>
      </w:r>
      <w:r w:rsidR="005603C5">
        <w:rPr>
          <w:rFonts w:eastAsia="Calibri" w:cs="Times New Roman"/>
          <w:bCs/>
          <w:sz w:val="22"/>
          <w:szCs w:val="22"/>
        </w:rPr>
        <w:t xml:space="preserve">e </w:t>
      </w:r>
      <w:r w:rsidR="00892E6E">
        <w:rPr>
          <w:rFonts w:eastAsia="Calibri" w:cs="Times New Roman"/>
          <w:bCs/>
          <w:sz w:val="22"/>
          <w:szCs w:val="22"/>
        </w:rPr>
        <w:t>diciembre</w:t>
      </w:r>
      <w:r w:rsidR="005603C5">
        <w:rPr>
          <w:rFonts w:eastAsia="Calibri" w:cs="Times New Roman"/>
          <w:bCs/>
          <w:sz w:val="22"/>
          <w:szCs w:val="22"/>
        </w:rPr>
        <w:t xml:space="preserve"> </w:t>
      </w:r>
      <w:r>
        <w:rPr>
          <w:rFonts w:eastAsia="Calibri" w:cs="Times New Roman"/>
          <w:bCs/>
          <w:sz w:val="22"/>
          <w:szCs w:val="22"/>
        </w:rPr>
        <w:t>de 202</w:t>
      </w:r>
      <w:r w:rsidR="00311639">
        <w:rPr>
          <w:rFonts w:eastAsia="Calibri" w:cs="Times New Roman"/>
          <w:bCs/>
          <w:sz w:val="22"/>
          <w:szCs w:val="22"/>
        </w:rPr>
        <w:t>2</w:t>
      </w:r>
      <w:r w:rsidRPr="00CD0EB3">
        <w:rPr>
          <w:rFonts w:eastAsia="Calibri" w:cs="Times New Roman"/>
          <w:bCs/>
          <w:sz w:val="22"/>
          <w:szCs w:val="22"/>
        </w:rPr>
        <w:t xml:space="preserve"> de la cuenta de Participaciones y Aportaciones de Capital</w:t>
      </w:r>
      <w:r w:rsidR="00C86007">
        <w:rPr>
          <w:rFonts w:eastAsia="Calibri" w:cs="Times New Roman"/>
          <w:bCs/>
          <w:sz w:val="22"/>
          <w:szCs w:val="22"/>
        </w:rPr>
        <w:t xml:space="preserve">, por 20 mil </w:t>
      </w:r>
      <w:r w:rsidR="00592775">
        <w:rPr>
          <w:rFonts w:eastAsia="Calibri" w:cs="Times New Roman"/>
          <w:bCs/>
          <w:sz w:val="22"/>
          <w:szCs w:val="22"/>
        </w:rPr>
        <w:t>190</w:t>
      </w:r>
      <w:r w:rsidR="00C86007">
        <w:rPr>
          <w:rFonts w:eastAsia="Calibri" w:cs="Times New Roman"/>
          <w:bCs/>
          <w:sz w:val="22"/>
          <w:szCs w:val="22"/>
        </w:rPr>
        <w:t xml:space="preserve"> millones </w:t>
      </w:r>
      <w:r w:rsidR="00592775">
        <w:rPr>
          <w:rFonts w:eastAsia="Calibri" w:cs="Times New Roman"/>
          <w:bCs/>
          <w:sz w:val="22"/>
          <w:szCs w:val="22"/>
        </w:rPr>
        <w:t>910</w:t>
      </w:r>
      <w:r w:rsidR="00C86007">
        <w:rPr>
          <w:rFonts w:eastAsia="Calibri" w:cs="Times New Roman"/>
          <w:bCs/>
          <w:sz w:val="22"/>
          <w:szCs w:val="22"/>
        </w:rPr>
        <w:t xml:space="preserve"> mil </w:t>
      </w:r>
      <w:r w:rsidR="00592775">
        <w:rPr>
          <w:rFonts w:eastAsia="Calibri" w:cs="Times New Roman"/>
          <w:bCs/>
          <w:sz w:val="22"/>
          <w:szCs w:val="22"/>
        </w:rPr>
        <w:t>331</w:t>
      </w:r>
      <w:r w:rsidR="00C86007">
        <w:rPr>
          <w:rFonts w:eastAsia="Calibri" w:cs="Times New Roman"/>
          <w:bCs/>
          <w:sz w:val="22"/>
          <w:szCs w:val="22"/>
        </w:rPr>
        <w:t xml:space="preserve"> pesos</w:t>
      </w:r>
      <w:r w:rsidR="00207781">
        <w:rPr>
          <w:rFonts w:eastAsia="Calibri" w:cs="Times New Roman"/>
          <w:bCs/>
          <w:sz w:val="22"/>
          <w:szCs w:val="22"/>
        </w:rPr>
        <w:t>.</w:t>
      </w:r>
      <w:r>
        <w:rPr>
          <w:rFonts w:eastAsia="Calibri" w:cs="Times New Roman"/>
          <w:bCs/>
          <w:sz w:val="22"/>
          <w:szCs w:val="22"/>
        </w:rPr>
        <w:t xml:space="preserve"> </w:t>
      </w:r>
    </w:p>
    <w:p w14:paraId="00CBF263" w14:textId="514E1A7D" w:rsidR="00207781" w:rsidRPr="0029041D" w:rsidRDefault="00207781" w:rsidP="00207781">
      <w:pPr>
        <w:spacing w:before="0" w:after="0"/>
        <w:rPr>
          <w:rFonts w:eastAsia="Times New Roman" w:cs="Times New Roman"/>
          <w:bCs/>
          <w:color w:val="000000"/>
          <w:sz w:val="22"/>
          <w:szCs w:val="22"/>
          <w:lang w:eastAsia="es-MX"/>
        </w:rPr>
      </w:pPr>
      <w:r w:rsidRPr="0029041D">
        <w:rPr>
          <w:rFonts w:eastAsia="Times New Roman" w:cs="Times New Roman"/>
          <w:bCs/>
          <w:color w:val="000000"/>
          <w:sz w:val="22"/>
          <w:szCs w:val="22"/>
          <w:lang w:eastAsia="es-MX"/>
        </w:rPr>
        <w:t xml:space="preserve">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 aumento de </w:t>
      </w:r>
      <w:r w:rsidR="00892E6E">
        <w:rPr>
          <w:rFonts w:eastAsia="Times New Roman" w:cs="Times New Roman"/>
          <w:bCs/>
          <w:color w:val="000000"/>
          <w:sz w:val="22"/>
          <w:szCs w:val="22"/>
          <w:lang w:eastAsia="es-MX"/>
        </w:rPr>
        <w:t>2</w:t>
      </w:r>
      <w:r w:rsidRPr="0029041D">
        <w:rPr>
          <w:rFonts w:eastAsia="Times New Roman" w:cs="Times New Roman"/>
          <w:bCs/>
          <w:color w:val="000000"/>
          <w:sz w:val="22"/>
          <w:szCs w:val="22"/>
          <w:lang w:eastAsia="es-MX"/>
        </w:rPr>
        <w:t xml:space="preserve"> mil </w:t>
      </w:r>
      <w:r w:rsidR="00592775">
        <w:rPr>
          <w:rFonts w:eastAsia="Times New Roman" w:cs="Times New Roman"/>
          <w:bCs/>
          <w:color w:val="000000"/>
          <w:sz w:val="22"/>
          <w:szCs w:val="22"/>
          <w:lang w:eastAsia="es-MX"/>
        </w:rPr>
        <w:t xml:space="preserve">708 </w:t>
      </w:r>
      <w:r w:rsidRPr="0029041D">
        <w:rPr>
          <w:rFonts w:eastAsia="Times New Roman" w:cs="Times New Roman"/>
          <w:bCs/>
          <w:color w:val="000000"/>
          <w:sz w:val="22"/>
          <w:szCs w:val="22"/>
          <w:lang w:eastAsia="es-MX"/>
        </w:rPr>
        <w:t xml:space="preserve">millones </w:t>
      </w:r>
      <w:r w:rsidR="00592775">
        <w:rPr>
          <w:rFonts w:eastAsia="Times New Roman" w:cs="Times New Roman"/>
          <w:bCs/>
          <w:color w:val="000000"/>
          <w:sz w:val="22"/>
          <w:szCs w:val="22"/>
          <w:lang w:eastAsia="es-MX"/>
        </w:rPr>
        <w:t>202</w:t>
      </w:r>
      <w:r w:rsidRPr="0029041D">
        <w:rPr>
          <w:rFonts w:eastAsia="Times New Roman" w:cs="Times New Roman"/>
          <w:bCs/>
          <w:color w:val="000000"/>
          <w:sz w:val="22"/>
          <w:szCs w:val="22"/>
          <w:lang w:eastAsia="es-MX"/>
        </w:rPr>
        <w:t xml:space="preserve"> mil </w:t>
      </w:r>
      <w:r w:rsidR="00592775">
        <w:rPr>
          <w:rFonts w:eastAsia="Times New Roman" w:cs="Times New Roman"/>
          <w:bCs/>
          <w:color w:val="000000"/>
          <w:sz w:val="22"/>
          <w:szCs w:val="22"/>
          <w:lang w:eastAsia="es-MX"/>
        </w:rPr>
        <w:t>220</w:t>
      </w:r>
      <w:r w:rsidRPr="0029041D">
        <w:rPr>
          <w:rFonts w:eastAsia="Times New Roman" w:cs="Times New Roman"/>
          <w:bCs/>
          <w:color w:val="000000"/>
          <w:sz w:val="22"/>
          <w:szCs w:val="22"/>
          <w:lang w:eastAsia="es-MX"/>
        </w:rPr>
        <w:t xml:space="preserve"> pesos, correspondientes a la actualización de los saldos en los estados de cuenta, de Hacienda Pública/Patrimonio de los Estados de Situación Financiera en las diferentes paraestatales, lo que representa un </w:t>
      </w:r>
      <w:r w:rsidR="00592775">
        <w:rPr>
          <w:rFonts w:eastAsia="Times New Roman" w:cs="Times New Roman"/>
          <w:bCs/>
          <w:color w:val="000000"/>
          <w:sz w:val="22"/>
          <w:szCs w:val="22"/>
          <w:lang w:eastAsia="es-MX"/>
        </w:rPr>
        <w:t>11.08</w:t>
      </w:r>
      <w:r w:rsidRPr="0029041D">
        <w:rPr>
          <w:rFonts w:eastAsia="Times New Roman" w:cs="Times New Roman"/>
          <w:bCs/>
          <w:color w:val="000000"/>
          <w:sz w:val="22"/>
          <w:szCs w:val="22"/>
          <w:lang w:eastAsia="es-MX"/>
        </w:rPr>
        <w:t>% de variación total, respecto del saldo al 31 de diciembre de 2021.</w:t>
      </w:r>
      <w:r w:rsidR="00592775">
        <w:rPr>
          <w:rFonts w:eastAsia="Times New Roman" w:cs="Times New Roman"/>
          <w:bCs/>
          <w:color w:val="000000"/>
          <w:sz w:val="22"/>
          <w:szCs w:val="22"/>
          <w:lang w:eastAsia="es-MX"/>
        </w:rPr>
        <w:t xml:space="preserve"> El respaldo correspondiente a dichas variaciones consiste en los Estados Financieros que las Entidades Paraestatales presentan a esta Secretaría de Finanzas y está actualizado de conformidad con la oportunidad en que estas los presentan.</w:t>
      </w:r>
    </w:p>
    <w:p w14:paraId="1F3D016C" w14:textId="77777777" w:rsidR="00207781" w:rsidRPr="0029041D" w:rsidRDefault="00207781" w:rsidP="00207781">
      <w:pPr>
        <w:spacing w:before="0" w:after="0"/>
        <w:rPr>
          <w:rFonts w:eastAsia="Times New Roman" w:cs="Times New Roman"/>
          <w:bCs/>
          <w:color w:val="000000"/>
          <w:sz w:val="22"/>
          <w:szCs w:val="22"/>
          <w:lang w:eastAsia="es-MX"/>
        </w:rPr>
      </w:pPr>
    </w:p>
    <w:p w14:paraId="2F202F86" w14:textId="780ECD15" w:rsidR="00207781" w:rsidRPr="0029041D" w:rsidRDefault="00207781" w:rsidP="00387CC6">
      <w:pPr>
        <w:spacing w:before="0" w:after="0"/>
        <w:rPr>
          <w:rFonts w:eastAsia="Calibri" w:cs="Times New Roman"/>
          <w:bCs/>
          <w:sz w:val="22"/>
          <w:szCs w:val="22"/>
        </w:rPr>
      </w:pPr>
      <w:r w:rsidRPr="0029041D">
        <w:rPr>
          <w:rFonts w:eastAsia="Times New Roman" w:cs="Times New Roman"/>
          <w:bCs/>
          <w:color w:val="000000"/>
          <w:sz w:val="22"/>
          <w:szCs w:val="22"/>
          <w:lang w:eastAsia="es-MX"/>
        </w:rPr>
        <w:t>Las aportaciones en las entidades paraestatales se integran como sigue:</w:t>
      </w:r>
    </w:p>
    <w:p w14:paraId="63212293" w14:textId="344EACE7" w:rsidR="00B82D70" w:rsidRPr="00464F99" w:rsidRDefault="00152561" w:rsidP="00464F99">
      <w:pPr>
        <w:spacing w:before="120" w:after="120"/>
        <w:rPr>
          <w:rFonts w:eastAsia="Calibri" w:cs="Times New Roman"/>
          <w:bCs/>
          <w:sz w:val="22"/>
          <w:szCs w:val="22"/>
        </w:rPr>
      </w:pPr>
      <w:r w:rsidRPr="00152561">
        <w:rPr>
          <w:noProof/>
        </w:rPr>
        <w:lastRenderedPageBreak/>
        <w:drawing>
          <wp:inline distT="0" distB="0" distL="0" distR="0" wp14:anchorId="7686CDA2" wp14:editId="0E600242">
            <wp:extent cx="6296025" cy="7900304"/>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6298955" cy="7903980"/>
                    </a:xfrm>
                    <a:prstGeom prst="rect">
                      <a:avLst/>
                    </a:prstGeom>
                    <a:noFill/>
                    <a:ln>
                      <a:noFill/>
                    </a:ln>
                  </pic:spPr>
                </pic:pic>
              </a:graphicData>
            </a:graphic>
          </wp:inline>
        </w:drawing>
      </w:r>
    </w:p>
    <w:p w14:paraId="5F4F4BD9" w14:textId="1CD9907A" w:rsidR="0029041D" w:rsidRDefault="0029041D" w:rsidP="00B82D70">
      <w:pPr>
        <w:spacing w:before="0" w:after="0"/>
        <w:rPr>
          <w:rFonts w:eastAsia="Calibri" w:cs="Times New Roman"/>
          <w:b/>
          <w:sz w:val="22"/>
          <w:szCs w:val="22"/>
        </w:rPr>
      </w:pPr>
      <w:r>
        <w:rPr>
          <w:rFonts w:eastAsia="Calibri" w:cs="Times New Roman"/>
          <w:b/>
          <w:sz w:val="22"/>
          <w:szCs w:val="22"/>
        </w:rPr>
        <w:lastRenderedPageBreak/>
        <w:t>BIENES MUEBLES, INMUEBLES E INTAGIBLES</w:t>
      </w:r>
    </w:p>
    <w:p w14:paraId="56AC8ADD" w14:textId="383D7DB3" w:rsidR="00B82D70" w:rsidRPr="008E7DF3" w:rsidRDefault="0029041D" w:rsidP="00B82D70">
      <w:pPr>
        <w:spacing w:before="0" w:after="0"/>
        <w:rPr>
          <w:rFonts w:ascii="Arial" w:eastAsia="Times New Roman" w:hAnsi="Arial" w:cs="Arial"/>
          <w:b/>
          <w:bCs/>
          <w:color w:val="000000"/>
          <w:sz w:val="22"/>
          <w:szCs w:val="22"/>
          <w:lang w:eastAsia="es-MX"/>
        </w:rPr>
      </w:pPr>
      <w:r>
        <w:rPr>
          <w:rFonts w:eastAsia="Calibri" w:cs="Times New Roman"/>
          <w:b/>
          <w:sz w:val="22"/>
          <w:szCs w:val="22"/>
        </w:rPr>
        <w:t>8.- Bienes muebles e inmuebles</w:t>
      </w:r>
      <w:r w:rsidR="00B82D70" w:rsidRPr="008E7DF3">
        <w:rPr>
          <w:rFonts w:ascii="Arial" w:hAnsi="Arial" w:cs="Arial"/>
          <w:b/>
          <w:color w:val="000000"/>
          <w:sz w:val="22"/>
          <w:szCs w:val="22"/>
        </w:rPr>
        <w:t xml:space="preserve"> </w:t>
      </w:r>
      <w:r w:rsidR="00B82D70" w:rsidRPr="008E7DF3">
        <w:rPr>
          <w:rFonts w:ascii="Arial" w:eastAsia="Times New Roman" w:hAnsi="Arial" w:cs="Arial"/>
          <w:b/>
          <w:bCs/>
          <w:color w:val="000000"/>
          <w:sz w:val="22"/>
          <w:szCs w:val="22"/>
          <w:lang w:eastAsia="es-MX"/>
        </w:rPr>
        <w:t xml:space="preserve">  </w:t>
      </w:r>
    </w:p>
    <w:p w14:paraId="345817BA" w14:textId="77777777" w:rsidR="00B82D70" w:rsidRDefault="00B82D70" w:rsidP="00B82D70">
      <w:pPr>
        <w:spacing w:before="0" w:after="0"/>
        <w:rPr>
          <w:rFonts w:eastAsia="Calibri" w:cs="Times New Roman"/>
          <w:sz w:val="22"/>
          <w:szCs w:val="22"/>
        </w:rPr>
      </w:pPr>
    </w:p>
    <w:p w14:paraId="32931370" w14:textId="2BEADA9A" w:rsidR="00B82D70" w:rsidRPr="007E286C" w:rsidRDefault="00B82D70" w:rsidP="00B82D70">
      <w:pPr>
        <w:spacing w:before="0" w:after="0"/>
        <w:rPr>
          <w:rFonts w:eastAsia="Calibri" w:cs="Times New Roman"/>
          <w:sz w:val="22"/>
          <w:szCs w:val="22"/>
        </w:rPr>
      </w:pPr>
      <w:r w:rsidRPr="008E7DF3">
        <w:rPr>
          <w:rFonts w:eastAsia="Calibri" w:cs="Times New Roman"/>
          <w:sz w:val="22"/>
          <w:szCs w:val="22"/>
        </w:rPr>
        <w:t xml:space="preserve">De conformidad con lo dispuesto en los acuerdos donde se establecen las “Principales Reglas de Registro y Valoración del Patrimonio”, publicado en el Diario Oficial de la Federación del </w:t>
      </w:r>
      <w:r w:rsidRPr="00BF1035">
        <w:rPr>
          <w:rFonts w:eastAsia="Calibri" w:cs="Times New Roman"/>
          <w:sz w:val="22"/>
          <w:szCs w:val="22"/>
        </w:rPr>
        <w:t>08 de agosto de 2013</w:t>
      </w:r>
      <w:r w:rsidRPr="008E7DF3">
        <w:rPr>
          <w:rFonts w:eastAsia="Calibri" w:cs="Times New Roman"/>
          <w:sz w:val="22"/>
          <w:szCs w:val="22"/>
        </w:rPr>
        <w:t xml:space="preserve"> y los “Lineamientos dirigidos a asegurar que el Sistema de Contabilidad Gubernamental facilite el Registro y Control de los Inventarios de Bienes Muebles e Inmuebles de los Entes Públicos” publicado en el Diario Oficial de la Federación del </w:t>
      </w:r>
      <w:r w:rsidRPr="00BF1035">
        <w:rPr>
          <w:rFonts w:eastAsia="Calibri" w:cs="Times New Roman"/>
          <w:sz w:val="22"/>
          <w:szCs w:val="22"/>
        </w:rPr>
        <w:t>13 de diciembre de 2011,</w:t>
      </w:r>
      <w:r w:rsidRPr="008E7DF3">
        <w:rPr>
          <w:rFonts w:eastAsia="Calibri" w:cs="Times New Roman"/>
          <w:sz w:val="22"/>
          <w:szCs w:val="22"/>
        </w:rPr>
        <w:t xml:space="preserve"> las cifras que se presentan y que ascienden a un importe </w:t>
      </w:r>
      <w:r w:rsidRPr="002B1D0E">
        <w:rPr>
          <w:rFonts w:eastAsia="Calibri" w:cs="Times New Roman"/>
          <w:sz w:val="22"/>
          <w:szCs w:val="22"/>
        </w:rPr>
        <w:t xml:space="preserve">de </w:t>
      </w:r>
      <w:r w:rsidR="00892E6E">
        <w:rPr>
          <w:rFonts w:eastAsia="Calibri" w:cs="Times New Roman"/>
          <w:sz w:val="22"/>
          <w:szCs w:val="22"/>
        </w:rPr>
        <w:t>2</w:t>
      </w:r>
      <w:r w:rsidR="001205F4">
        <w:rPr>
          <w:rFonts w:eastAsia="Calibri" w:cs="Times New Roman"/>
          <w:sz w:val="22"/>
          <w:szCs w:val="22"/>
        </w:rPr>
        <w:t>6</w:t>
      </w:r>
      <w:r w:rsidRPr="002B1D0E">
        <w:rPr>
          <w:rFonts w:eastAsia="Calibri" w:cs="Times New Roman"/>
          <w:sz w:val="22"/>
          <w:szCs w:val="22"/>
        </w:rPr>
        <w:t xml:space="preserve"> mil </w:t>
      </w:r>
      <w:r w:rsidR="001205F4">
        <w:rPr>
          <w:rFonts w:eastAsia="Calibri" w:cs="Times New Roman"/>
          <w:sz w:val="22"/>
          <w:szCs w:val="22"/>
        </w:rPr>
        <w:t>652</w:t>
      </w:r>
      <w:r w:rsidR="00892E6E">
        <w:rPr>
          <w:rFonts w:eastAsia="Calibri" w:cs="Times New Roman"/>
          <w:sz w:val="22"/>
          <w:szCs w:val="22"/>
        </w:rPr>
        <w:t xml:space="preserve"> </w:t>
      </w:r>
      <w:r w:rsidRPr="002B1D0E">
        <w:rPr>
          <w:rFonts w:eastAsia="Calibri" w:cs="Times New Roman"/>
          <w:sz w:val="22"/>
          <w:szCs w:val="22"/>
        </w:rPr>
        <w:t xml:space="preserve">millones </w:t>
      </w:r>
      <w:r w:rsidR="001205F4">
        <w:rPr>
          <w:rFonts w:eastAsia="Calibri" w:cs="Times New Roman"/>
          <w:sz w:val="22"/>
          <w:szCs w:val="22"/>
        </w:rPr>
        <w:t>833</w:t>
      </w:r>
      <w:r w:rsidRPr="002B1D0E">
        <w:rPr>
          <w:rFonts w:eastAsia="Calibri" w:cs="Times New Roman"/>
          <w:sz w:val="22"/>
          <w:szCs w:val="22"/>
        </w:rPr>
        <w:t xml:space="preserve"> mil </w:t>
      </w:r>
      <w:r w:rsidR="001205F4">
        <w:rPr>
          <w:rFonts w:eastAsia="Calibri" w:cs="Times New Roman"/>
          <w:sz w:val="22"/>
          <w:szCs w:val="22"/>
        </w:rPr>
        <w:t>539</w:t>
      </w:r>
      <w:r w:rsidRPr="002B1D0E">
        <w:rPr>
          <w:rFonts w:eastAsia="Calibri" w:cs="Times New Roman"/>
          <w:sz w:val="22"/>
          <w:szCs w:val="22"/>
        </w:rPr>
        <w:t xml:space="preserve"> pesos.</w:t>
      </w:r>
      <w:r w:rsidRPr="008E7DF3">
        <w:rPr>
          <w:rFonts w:eastAsia="Calibri" w:cs="Times New Roman"/>
          <w:sz w:val="22"/>
          <w:szCs w:val="22"/>
        </w:rPr>
        <w:t xml:space="preserve"> </w:t>
      </w:r>
    </w:p>
    <w:p w14:paraId="4F5D737F" w14:textId="59348531" w:rsidR="00B82D70" w:rsidRPr="00152561" w:rsidRDefault="00B82D70" w:rsidP="00DB735C">
      <w:pPr>
        <w:widowControl w:val="0"/>
        <w:tabs>
          <w:tab w:val="left" w:pos="426"/>
        </w:tabs>
        <w:kinsoku w:val="0"/>
        <w:spacing w:before="0" w:after="0"/>
        <w:contextualSpacing/>
        <w:jc w:val="center"/>
        <w:rPr>
          <w:rFonts w:eastAsia="Calibri" w:cs="Times New Roman"/>
          <w:sz w:val="22"/>
          <w:szCs w:val="22"/>
        </w:rPr>
      </w:pPr>
    </w:p>
    <w:p w14:paraId="1A8F9281" w14:textId="68739F43" w:rsidR="00B82D70" w:rsidRDefault="00152561" w:rsidP="00152561">
      <w:pPr>
        <w:spacing w:before="0" w:after="0"/>
        <w:rPr>
          <w:rFonts w:eastAsia="Calibri" w:cs="Times New Roman"/>
          <w:sz w:val="22"/>
          <w:szCs w:val="22"/>
        </w:rPr>
      </w:pPr>
      <w:r w:rsidRPr="00152561">
        <w:rPr>
          <w:rFonts w:eastAsia="Calibri" w:cs="Times New Roman"/>
          <w:sz w:val="22"/>
          <w:szCs w:val="22"/>
        </w:rPr>
        <w:t>En este sentido, y como se dejó constancia</w:t>
      </w:r>
      <w:r>
        <w:rPr>
          <w:rFonts w:eastAsia="Calibri" w:cs="Times New Roman"/>
          <w:sz w:val="22"/>
          <w:szCs w:val="22"/>
        </w:rPr>
        <w:t xml:space="preserve"> en la nota de Gestión 5 “Políticas de Contabilidad Sustantiva”, inciso a) Actualización, mediante trabajos de verificación física, valuación y actualización de bienes inmuebles, existe una variación </w:t>
      </w:r>
      <w:r w:rsidR="001205F4">
        <w:rPr>
          <w:rFonts w:eastAsia="Calibri" w:cs="Times New Roman"/>
          <w:sz w:val="22"/>
          <w:szCs w:val="22"/>
        </w:rPr>
        <w:t>de 7 mil 902 millones 611 mil 680 pesos que representan un 42.15 % respecto del saldo al 31 de diciembre de 2021, derivados principalmente de los trabajos mencionados en los rubros de “Edificios no habitacionales” y “Terrenos para usos propios”</w:t>
      </w:r>
      <w:r w:rsidR="00401D23">
        <w:rPr>
          <w:rFonts w:eastAsia="Calibri" w:cs="Times New Roman"/>
          <w:sz w:val="22"/>
          <w:szCs w:val="22"/>
        </w:rPr>
        <w:t xml:space="preserve"> </w:t>
      </w:r>
      <w:r w:rsidR="00401D23">
        <w:rPr>
          <w:rFonts w:eastAsia="Calibri" w:cs="Times New Roman"/>
          <w:color w:val="000000"/>
          <w:sz w:val="22"/>
          <w:szCs w:val="22"/>
        </w:rPr>
        <w:t>por un monto de 6 mil 638 millones 211 mil 712 pesos, que puede verse reflejados en el apartado de Hacienda Pública.</w:t>
      </w:r>
      <w:r w:rsidR="001205F4">
        <w:rPr>
          <w:rFonts w:eastAsia="Calibri" w:cs="Times New Roman"/>
          <w:sz w:val="22"/>
          <w:szCs w:val="22"/>
        </w:rPr>
        <w:t>.</w:t>
      </w:r>
    </w:p>
    <w:p w14:paraId="04F01CA3" w14:textId="28E3F8DA" w:rsidR="001205F4" w:rsidRPr="00152561" w:rsidRDefault="001205F4" w:rsidP="00152561">
      <w:pPr>
        <w:spacing w:before="0" w:after="0"/>
        <w:rPr>
          <w:rFonts w:eastAsia="Calibri" w:cs="Times New Roman"/>
          <w:sz w:val="22"/>
          <w:szCs w:val="22"/>
        </w:rPr>
      </w:pPr>
      <w:r>
        <w:rPr>
          <w:rFonts w:eastAsia="Calibri" w:cs="Times New Roman"/>
          <w:sz w:val="22"/>
          <w:szCs w:val="22"/>
        </w:rPr>
        <w:t>El saldo de los bienes inmuebles se muestra como sigue:</w:t>
      </w:r>
    </w:p>
    <w:p w14:paraId="44CA5537" w14:textId="3929A937" w:rsidR="0044578D" w:rsidRPr="005A01C9" w:rsidRDefault="00152561" w:rsidP="005A01C9">
      <w:pPr>
        <w:spacing w:before="120" w:after="120"/>
        <w:jc w:val="center"/>
        <w:rPr>
          <w:rFonts w:eastAsia="Times New Roman" w:cs="Times New Roman"/>
          <w:color w:val="833C0B"/>
          <w:lang w:eastAsia="es-MX"/>
        </w:rPr>
      </w:pPr>
      <w:r w:rsidRPr="00152561">
        <w:rPr>
          <w:noProof/>
        </w:rPr>
        <w:drawing>
          <wp:inline distT="0" distB="0" distL="0" distR="0" wp14:anchorId="12E91415" wp14:editId="7118E6EC">
            <wp:extent cx="6351270" cy="1458595"/>
            <wp:effectExtent l="0" t="0" r="0" b="8255"/>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6351270" cy="1458595"/>
                    </a:xfrm>
                    <a:prstGeom prst="rect">
                      <a:avLst/>
                    </a:prstGeom>
                    <a:noFill/>
                    <a:ln>
                      <a:noFill/>
                    </a:ln>
                  </pic:spPr>
                </pic:pic>
              </a:graphicData>
            </a:graphic>
          </wp:inline>
        </w:drawing>
      </w:r>
    </w:p>
    <w:p w14:paraId="61FC005C" w14:textId="77777777" w:rsidR="001205F4" w:rsidRDefault="001205F4" w:rsidP="00B82D70">
      <w:pPr>
        <w:spacing w:before="0" w:after="0"/>
        <w:rPr>
          <w:rFonts w:eastAsia="Calibri" w:cs="Times New Roman"/>
          <w:b/>
          <w:color w:val="000000"/>
          <w:sz w:val="22"/>
          <w:szCs w:val="22"/>
        </w:rPr>
      </w:pPr>
    </w:p>
    <w:p w14:paraId="41D17232" w14:textId="77777777" w:rsidR="001205F4" w:rsidRDefault="001205F4" w:rsidP="00B82D70">
      <w:pPr>
        <w:spacing w:before="0" w:after="0"/>
        <w:rPr>
          <w:rFonts w:eastAsia="Calibri" w:cs="Times New Roman"/>
          <w:b/>
          <w:color w:val="000000"/>
          <w:sz w:val="22"/>
          <w:szCs w:val="22"/>
        </w:rPr>
      </w:pPr>
    </w:p>
    <w:p w14:paraId="21340350" w14:textId="7E168AA2" w:rsidR="00B82D70" w:rsidRDefault="00B82D70" w:rsidP="00B82D70">
      <w:pPr>
        <w:spacing w:before="0" w:after="0"/>
        <w:rPr>
          <w:rFonts w:eastAsia="Calibri" w:cs="Times New Roman"/>
          <w:b/>
          <w:color w:val="000000"/>
          <w:sz w:val="22"/>
          <w:szCs w:val="22"/>
        </w:rPr>
      </w:pPr>
      <w:r w:rsidRPr="001E04E3">
        <w:rPr>
          <w:rFonts w:eastAsia="Calibri" w:cs="Times New Roman"/>
          <w:b/>
          <w:color w:val="000000"/>
          <w:sz w:val="22"/>
          <w:szCs w:val="22"/>
        </w:rPr>
        <w:t>BIENES MUEBLES</w:t>
      </w:r>
    </w:p>
    <w:p w14:paraId="5385DC73" w14:textId="77777777" w:rsidR="00B82D70" w:rsidRPr="001E04E3" w:rsidRDefault="00B82D70" w:rsidP="00B82D70">
      <w:pPr>
        <w:spacing w:before="0" w:after="0"/>
        <w:ind w:left="284"/>
        <w:rPr>
          <w:rFonts w:eastAsia="Calibri" w:cs="Times New Roman"/>
          <w:color w:val="000000"/>
          <w:sz w:val="22"/>
          <w:szCs w:val="22"/>
        </w:rPr>
      </w:pPr>
      <w:r w:rsidRPr="001E04E3">
        <w:rPr>
          <w:rFonts w:eastAsia="Calibri" w:cs="Times New Roman"/>
          <w:color w:val="000000"/>
          <w:sz w:val="22"/>
          <w:szCs w:val="22"/>
        </w:rPr>
        <w:t>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w:t>
      </w:r>
      <w:r>
        <w:rPr>
          <w:rFonts w:eastAsia="Calibri" w:cs="Times New Roman"/>
          <w:color w:val="000000"/>
          <w:sz w:val="22"/>
          <w:szCs w:val="22"/>
        </w:rPr>
        <w:t xml:space="preserve">quipo de cómputo, etcétera. </w:t>
      </w:r>
    </w:p>
    <w:p w14:paraId="51670417" w14:textId="77777777" w:rsidR="00B82D70" w:rsidRDefault="00B82D70" w:rsidP="00B82D70">
      <w:pPr>
        <w:spacing w:before="0" w:after="0"/>
        <w:ind w:left="284"/>
        <w:rPr>
          <w:rFonts w:eastAsia="Calibri" w:cs="Times New Roman"/>
          <w:color w:val="000000"/>
          <w:sz w:val="22"/>
          <w:szCs w:val="22"/>
        </w:rPr>
      </w:pPr>
    </w:p>
    <w:p w14:paraId="7814B7CD" w14:textId="77777777" w:rsidR="00B82D70" w:rsidRPr="001E04E3" w:rsidRDefault="00B82D70" w:rsidP="00B82D70">
      <w:pPr>
        <w:spacing w:before="0" w:after="0"/>
        <w:ind w:left="284"/>
        <w:rPr>
          <w:rFonts w:eastAsia="Calibri" w:cs="Times New Roman"/>
          <w:color w:val="000000"/>
          <w:sz w:val="22"/>
          <w:szCs w:val="22"/>
        </w:rPr>
      </w:pPr>
      <w:r w:rsidRPr="001E04E3">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3494B59C" w14:textId="72D5B09B" w:rsidR="00BA5F0B" w:rsidRDefault="00B82D70" w:rsidP="005A01C9">
      <w:pPr>
        <w:spacing w:before="0" w:after="0"/>
        <w:ind w:left="284"/>
        <w:rPr>
          <w:rFonts w:eastAsia="Calibri" w:cs="Times New Roman"/>
          <w:color w:val="000000"/>
          <w:sz w:val="22"/>
          <w:szCs w:val="22"/>
        </w:rPr>
      </w:pPr>
      <w:r w:rsidRPr="001E04E3">
        <w:rPr>
          <w:rFonts w:eastAsia="Calibri" w:cs="Times New Roman"/>
          <w:color w:val="000000"/>
          <w:sz w:val="22"/>
          <w:szCs w:val="22"/>
        </w:rPr>
        <w:t>Estos registros, se realizan de manera simultánea a la afectación presupuestal</w:t>
      </w:r>
      <w:r w:rsidRPr="008B3E06">
        <w:rPr>
          <w:rFonts w:eastAsia="Calibri" w:cs="Times New Roman"/>
          <w:color w:val="000000"/>
          <w:sz w:val="22"/>
          <w:szCs w:val="22"/>
        </w:rPr>
        <w:t>, en este rubro se llevaron a cabo las depreciaciones correspondientes, siguiendo la Guía de Vida Útil Estimada y Porcentaje de Depreciación.</w:t>
      </w:r>
    </w:p>
    <w:p w14:paraId="3C84D8E3" w14:textId="77777777" w:rsidR="001205F4" w:rsidRPr="001E04E3" w:rsidRDefault="001205F4" w:rsidP="005A01C9">
      <w:pPr>
        <w:spacing w:before="0" w:after="0"/>
        <w:ind w:left="284"/>
        <w:rPr>
          <w:rFonts w:eastAsia="Calibri" w:cs="Times New Roman"/>
          <w:color w:val="000000"/>
          <w:sz w:val="22"/>
          <w:szCs w:val="22"/>
        </w:rPr>
      </w:pPr>
    </w:p>
    <w:p w14:paraId="4807EFF9" w14:textId="77777777" w:rsidR="00B82D70" w:rsidRDefault="00B82D70" w:rsidP="00B82D70">
      <w:pPr>
        <w:spacing w:before="0" w:after="0"/>
        <w:ind w:firstLine="284"/>
        <w:rPr>
          <w:rFonts w:eastAsia="Calibri" w:cs="Times New Roman"/>
          <w:color w:val="000000"/>
          <w:sz w:val="22"/>
          <w:szCs w:val="22"/>
        </w:rPr>
      </w:pPr>
      <w:r w:rsidRPr="001E04E3">
        <w:rPr>
          <w:rFonts w:eastAsia="Calibri" w:cs="Times New Roman"/>
          <w:color w:val="000000"/>
          <w:sz w:val="22"/>
          <w:szCs w:val="22"/>
        </w:rPr>
        <w:t>A continuación, se detalla la integración de este rubro:</w:t>
      </w:r>
    </w:p>
    <w:p w14:paraId="738DF62D" w14:textId="77777777" w:rsidR="00B82D70" w:rsidRPr="001E04E3" w:rsidRDefault="00B82D70" w:rsidP="00B82D70">
      <w:pPr>
        <w:spacing w:before="0" w:after="0"/>
        <w:ind w:firstLine="284"/>
        <w:rPr>
          <w:rFonts w:eastAsia="Calibri" w:cs="Times New Roman"/>
          <w:color w:val="632423"/>
          <w:sz w:val="22"/>
          <w:szCs w:val="22"/>
        </w:rPr>
      </w:pPr>
    </w:p>
    <w:p w14:paraId="00402BBC" w14:textId="62DC7705" w:rsidR="00C0303A" w:rsidRPr="001557B1" w:rsidRDefault="001205F4" w:rsidP="001557B1">
      <w:pPr>
        <w:widowControl w:val="0"/>
        <w:tabs>
          <w:tab w:val="left" w:pos="465"/>
        </w:tabs>
        <w:kinsoku w:val="0"/>
        <w:spacing w:before="120" w:after="120"/>
        <w:ind w:left="284"/>
        <w:contextualSpacing/>
        <w:jc w:val="center"/>
        <w:rPr>
          <w:rFonts w:eastAsia="Times New Roman" w:cs="Times New Roman"/>
          <w:color w:val="833C0B"/>
          <w:lang w:val="en-US" w:eastAsia="es-MX"/>
        </w:rPr>
      </w:pPr>
      <w:r w:rsidRPr="001205F4">
        <w:rPr>
          <w:noProof/>
        </w:rPr>
        <w:drawing>
          <wp:inline distT="0" distB="0" distL="0" distR="0" wp14:anchorId="28F27275" wp14:editId="106D9D57">
            <wp:extent cx="6351270" cy="1619885"/>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6351270" cy="1619885"/>
                    </a:xfrm>
                    <a:prstGeom prst="rect">
                      <a:avLst/>
                    </a:prstGeom>
                    <a:noFill/>
                    <a:ln>
                      <a:noFill/>
                    </a:ln>
                  </pic:spPr>
                </pic:pic>
              </a:graphicData>
            </a:graphic>
          </wp:inline>
        </w:drawing>
      </w:r>
    </w:p>
    <w:p w14:paraId="78FBE912" w14:textId="77777777" w:rsidR="00387CC6" w:rsidRDefault="00387CC6" w:rsidP="00071170">
      <w:pPr>
        <w:widowControl w:val="0"/>
        <w:spacing w:before="0" w:after="0"/>
        <w:jc w:val="left"/>
        <w:rPr>
          <w:rFonts w:eastAsia="Times New Roman" w:cs="Times New Roman"/>
          <w:b/>
          <w:color w:val="000000"/>
          <w:sz w:val="22"/>
          <w:szCs w:val="22"/>
          <w:lang w:eastAsia="es-MX"/>
        </w:rPr>
      </w:pPr>
    </w:p>
    <w:p w14:paraId="14BE9E46" w14:textId="77777777" w:rsidR="00387CC6" w:rsidRDefault="00387CC6" w:rsidP="00071170">
      <w:pPr>
        <w:widowControl w:val="0"/>
        <w:spacing w:before="0" w:after="0"/>
        <w:jc w:val="left"/>
        <w:rPr>
          <w:rFonts w:eastAsia="Times New Roman" w:cs="Times New Roman"/>
          <w:b/>
          <w:color w:val="000000"/>
          <w:sz w:val="22"/>
          <w:szCs w:val="22"/>
          <w:lang w:eastAsia="es-MX"/>
        </w:rPr>
      </w:pPr>
    </w:p>
    <w:p w14:paraId="49B5D7D5" w14:textId="77777777" w:rsidR="00387CC6" w:rsidRDefault="00387CC6" w:rsidP="00071170">
      <w:pPr>
        <w:widowControl w:val="0"/>
        <w:spacing w:before="0" w:after="0"/>
        <w:jc w:val="left"/>
        <w:rPr>
          <w:rFonts w:eastAsia="Times New Roman" w:cs="Times New Roman"/>
          <w:b/>
          <w:color w:val="000000"/>
          <w:sz w:val="22"/>
          <w:szCs w:val="22"/>
          <w:lang w:eastAsia="es-MX"/>
        </w:rPr>
      </w:pPr>
    </w:p>
    <w:p w14:paraId="3E26B855" w14:textId="6FCA94A8" w:rsidR="00B82D70" w:rsidRPr="00071170" w:rsidRDefault="00BA5F0B" w:rsidP="00071170">
      <w:pPr>
        <w:widowControl w:val="0"/>
        <w:spacing w:before="0" w:after="0"/>
        <w:jc w:val="left"/>
        <w:rPr>
          <w:rFonts w:eastAsia="Times New Roman" w:cs="Times New Roman"/>
          <w:b/>
          <w:color w:val="000000"/>
          <w:sz w:val="22"/>
          <w:szCs w:val="22"/>
          <w:lang w:eastAsia="es-MX"/>
        </w:rPr>
      </w:pPr>
      <w:r>
        <w:rPr>
          <w:rFonts w:eastAsia="Times New Roman" w:cs="Times New Roman"/>
          <w:b/>
          <w:color w:val="000000"/>
          <w:sz w:val="22"/>
          <w:szCs w:val="22"/>
          <w:lang w:eastAsia="es-MX"/>
        </w:rPr>
        <w:lastRenderedPageBreak/>
        <w:t>9</w:t>
      </w:r>
      <w:r w:rsidR="00B82D70" w:rsidRPr="001E04E3">
        <w:rPr>
          <w:rFonts w:eastAsia="Times New Roman" w:cs="Times New Roman"/>
          <w:b/>
          <w:color w:val="000000"/>
          <w:sz w:val="22"/>
          <w:szCs w:val="22"/>
          <w:lang w:eastAsia="es-MX"/>
        </w:rPr>
        <w:t>.- ACTIVOS INTANGIBLES</w:t>
      </w:r>
    </w:p>
    <w:p w14:paraId="0FFC059A" w14:textId="77777777" w:rsidR="00744BAB" w:rsidRDefault="00744BAB" w:rsidP="00B82D70">
      <w:pPr>
        <w:spacing w:before="0" w:after="0"/>
        <w:rPr>
          <w:rFonts w:eastAsia="Calibri" w:cs="Times New Roman"/>
          <w:color w:val="000000"/>
          <w:sz w:val="22"/>
          <w:szCs w:val="22"/>
        </w:rPr>
      </w:pPr>
    </w:p>
    <w:p w14:paraId="6C29C12A" w14:textId="10290045" w:rsidR="00B82D70" w:rsidRPr="001E04E3"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0FB1702A" w14:textId="1F43C091" w:rsidR="00071170" w:rsidRDefault="001205F4" w:rsidP="00B82D70">
      <w:pPr>
        <w:widowControl w:val="0"/>
        <w:spacing w:before="0" w:after="0"/>
        <w:jc w:val="left"/>
        <w:rPr>
          <w:rFonts w:eastAsia="Times New Roman" w:cs="Times New Roman"/>
          <w:b/>
          <w:color w:val="000000"/>
          <w:sz w:val="22"/>
          <w:szCs w:val="22"/>
          <w:lang w:eastAsia="es-MX"/>
        </w:rPr>
      </w:pPr>
      <w:r w:rsidRPr="001205F4">
        <w:rPr>
          <w:noProof/>
        </w:rPr>
        <w:drawing>
          <wp:inline distT="0" distB="0" distL="0" distR="0" wp14:anchorId="0C9C8A0E" wp14:editId="03529E84">
            <wp:extent cx="6351270" cy="97536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4206C949" w14:textId="77777777" w:rsidR="001205F4" w:rsidRDefault="001205F4" w:rsidP="00B82D70">
      <w:pPr>
        <w:widowControl w:val="0"/>
        <w:spacing w:before="0" w:after="0"/>
        <w:jc w:val="left"/>
        <w:rPr>
          <w:rFonts w:eastAsia="Times New Roman" w:cs="Times New Roman"/>
          <w:b/>
          <w:color w:val="000000"/>
          <w:sz w:val="22"/>
          <w:szCs w:val="22"/>
          <w:lang w:eastAsia="es-MX"/>
        </w:rPr>
      </w:pPr>
    </w:p>
    <w:p w14:paraId="778952E3" w14:textId="1397CFAD" w:rsidR="00B82D70" w:rsidRPr="001E04E3" w:rsidRDefault="00B82D70" w:rsidP="00B82D70">
      <w:pPr>
        <w:widowControl w:val="0"/>
        <w:spacing w:before="0" w:after="0"/>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ACTIVOS DIFERIDOS</w:t>
      </w:r>
    </w:p>
    <w:p w14:paraId="61C67580" w14:textId="17EF1533" w:rsidR="00B82D70"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Los cargos diferidos son aquellos gastos pagados por anticipado y que no son susceptibles de ser recuperados por el Gobierno del Estado, en ningún momento.</w:t>
      </w:r>
    </w:p>
    <w:p w14:paraId="5063C39F" w14:textId="72BBAC85" w:rsidR="00B82D70"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1E549BE8" w14:textId="3837C2FA" w:rsidR="00B82D70" w:rsidRPr="003310B5" w:rsidRDefault="00122DC6" w:rsidP="00B82D70">
      <w:pPr>
        <w:jc w:val="center"/>
        <w:rPr>
          <w:rFonts w:eastAsia="Calibri" w:cs="Times New Roman"/>
          <w:color w:val="000000"/>
        </w:rPr>
      </w:pPr>
      <w:r>
        <w:rPr>
          <w:noProof/>
        </w:rPr>
        <w:drawing>
          <wp:inline distT="0" distB="0" distL="0" distR="0" wp14:anchorId="4E3FB933" wp14:editId="37AB0B3F">
            <wp:extent cx="6351270" cy="834390"/>
            <wp:effectExtent l="0" t="0" r="0" b="3810"/>
            <wp:docPr id="247" name="Imagen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00000000-0008-0000-0000-00000B000000}"/>
                        </a:ext>
                      </a:extLst>
                    </pic:cNvPr>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6351270" cy="834390"/>
                    </a:xfrm>
                    <a:prstGeom prst="rect">
                      <a:avLst/>
                    </a:prstGeom>
                    <a:noFill/>
                  </pic:spPr>
                </pic:pic>
              </a:graphicData>
            </a:graphic>
          </wp:inline>
        </w:drawing>
      </w:r>
    </w:p>
    <w:p w14:paraId="2EEDD166" w14:textId="77777777" w:rsidR="00BA5F0B" w:rsidRDefault="00BA5F0B" w:rsidP="00B82D70">
      <w:pPr>
        <w:widowControl w:val="0"/>
        <w:kinsoku w:val="0"/>
        <w:spacing w:before="0" w:after="0"/>
        <w:contextualSpacing/>
        <w:jc w:val="left"/>
        <w:rPr>
          <w:rFonts w:eastAsia="Times New Roman" w:cs="Times New Roman"/>
          <w:b/>
          <w:color w:val="000000"/>
          <w:sz w:val="22"/>
          <w:szCs w:val="22"/>
          <w:lang w:eastAsia="es-MX"/>
        </w:rPr>
      </w:pPr>
    </w:p>
    <w:p w14:paraId="4DD5E3B0" w14:textId="0FF919BB"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r>
        <w:rPr>
          <w:rFonts w:eastAsia="Times New Roman" w:cs="Times New Roman"/>
          <w:b/>
          <w:color w:val="000000"/>
          <w:sz w:val="22"/>
          <w:szCs w:val="22"/>
          <w:lang w:eastAsia="es-MX"/>
        </w:rPr>
        <w:t>10. ESTIMACIONES Y DETERIOROS</w:t>
      </w:r>
    </w:p>
    <w:p w14:paraId="22F65E19" w14:textId="77777777" w:rsidR="00450813" w:rsidRDefault="00450813" w:rsidP="00B82D70">
      <w:pPr>
        <w:widowControl w:val="0"/>
        <w:kinsoku w:val="0"/>
        <w:spacing w:before="0" w:after="0"/>
        <w:contextualSpacing/>
        <w:jc w:val="left"/>
        <w:rPr>
          <w:rFonts w:eastAsia="Times New Roman" w:cs="Times New Roman"/>
          <w:b/>
          <w:color w:val="000000"/>
          <w:sz w:val="22"/>
          <w:szCs w:val="22"/>
          <w:lang w:eastAsia="es-MX"/>
        </w:rPr>
      </w:pPr>
    </w:p>
    <w:p w14:paraId="02E6DB56" w14:textId="10356567" w:rsidR="00A40013" w:rsidRPr="00A40013" w:rsidRDefault="00450813" w:rsidP="00B82D70">
      <w:pPr>
        <w:widowControl w:val="0"/>
        <w:kinsoku w:val="0"/>
        <w:spacing w:before="0" w:after="0"/>
        <w:contextualSpacing/>
        <w:jc w:val="left"/>
        <w:rPr>
          <w:rFonts w:eastAsia="Times New Roman" w:cs="Times New Roman"/>
          <w:bCs/>
          <w:color w:val="000000"/>
          <w:sz w:val="22"/>
          <w:szCs w:val="22"/>
          <w:lang w:eastAsia="es-MX"/>
        </w:rPr>
      </w:pPr>
      <w:r>
        <w:rPr>
          <w:rFonts w:eastAsia="Times New Roman" w:cs="Times New Roman"/>
          <w:bCs/>
          <w:color w:val="000000"/>
          <w:sz w:val="22"/>
          <w:szCs w:val="22"/>
          <w:lang w:eastAsia="es-MX"/>
        </w:rPr>
        <w:t>Las Depreciaciones y deterioros en los bienes propiedad del Gobierno del Estado se realizan de conformidad con lo establecido en la normativa publicada por el Consejo Nacional de Armonización Contable.</w:t>
      </w:r>
    </w:p>
    <w:p w14:paraId="6F962F06" w14:textId="6F96F94E"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p>
    <w:p w14:paraId="7AF87B30" w14:textId="1D0D96D6"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r>
        <w:rPr>
          <w:rFonts w:eastAsia="Times New Roman" w:cs="Times New Roman"/>
          <w:b/>
          <w:color w:val="000000"/>
          <w:sz w:val="22"/>
          <w:szCs w:val="22"/>
          <w:lang w:eastAsia="es-MX"/>
        </w:rPr>
        <w:t>11.- OTROS ACTIVOS</w:t>
      </w:r>
    </w:p>
    <w:p w14:paraId="35528935" w14:textId="3BDFB8FE" w:rsidR="00A40013" w:rsidRPr="00A40013" w:rsidRDefault="00A40013" w:rsidP="00B82D70">
      <w:pPr>
        <w:widowControl w:val="0"/>
        <w:kinsoku w:val="0"/>
        <w:spacing w:before="0" w:after="0"/>
        <w:contextualSpacing/>
        <w:jc w:val="left"/>
        <w:rPr>
          <w:rFonts w:eastAsia="Times New Roman" w:cs="Times New Roman"/>
          <w:bCs/>
          <w:color w:val="000000"/>
          <w:sz w:val="22"/>
          <w:szCs w:val="22"/>
          <w:lang w:eastAsia="es-MX"/>
        </w:rPr>
      </w:pPr>
      <w:r w:rsidRPr="00A40013">
        <w:rPr>
          <w:rFonts w:eastAsia="Times New Roman" w:cs="Times New Roman"/>
          <w:bCs/>
          <w:color w:val="000000"/>
          <w:sz w:val="22"/>
          <w:szCs w:val="22"/>
          <w:lang w:eastAsia="es-MX"/>
        </w:rPr>
        <w:t>El Gobierno del Estado de Michoacán no cuenta con activos diferentes a los ya señalados</w:t>
      </w:r>
    </w:p>
    <w:p w14:paraId="2DF92D5F" w14:textId="77777777"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p>
    <w:p w14:paraId="7486FFC8" w14:textId="218CB49A" w:rsidR="00B82D70" w:rsidRPr="001E04E3" w:rsidRDefault="00B82D70" w:rsidP="00B82D70">
      <w:pPr>
        <w:widowControl w:val="0"/>
        <w:kinsoku w:val="0"/>
        <w:spacing w:before="0" w:after="0"/>
        <w:contextualSpacing/>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PASIVO</w:t>
      </w:r>
    </w:p>
    <w:p w14:paraId="31E5F76D" w14:textId="7D0C8D11" w:rsidR="00B82D70" w:rsidRDefault="00B82D70" w:rsidP="0070010C">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5B19A965" w14:textId="77777777" w:rsidR="00450813" w:rsidRDefault="00450813" w:rsidP="0070010C">
      <w:pPr>
        <w:widowControl w:val="0"/>
        <w:kinsoku w:val="0"/>
        <w:spacing w:before="0" w:after="0"/>
        <w:contextualSpacing/>
        <w:rPr>
          <w:rFonts w:eastAsia="Times New Roman" w:cs="Times New Roman"/>
          <w:color w:val="000000"/>
          <w:sz w:val="22"/>
          <w:szCs w:val="22"/>
          <w:lang w:eastAsia="es-MX"/>
        </w:rPr>
      </w:pPr>
    </w:p>
    <w:p w14:paraId="04686139" w14:textId="4DDB15EB" w:rsidR="00C0303A" w:rsidRPr="001E04E3" w:rsidRDefault="00B82D70" w:rsidP="00B82D70">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w:t>
      </w:r>
      <w:r w:rsidR="00122DC6">
        <w:rPr>
          <w:rFonts w:eastAsia="Times New Roman" w:cs="Times New Roman"/>
          <w:color w:val="000000"/>
          <w:sz w:val="22"/>
          <w:szCs w:val="22"/>
          <w:lang w:eastAsia="es-MX"/>
        </w:rPr>
        <w:t>1</w:t>
      </w:r>
      <w:r w:rsidRPr="001E04E3">
        <w:rPr>
          <w:rFonts w:eastAsia="Times New Roman" w:cs="Times New Roman"/>
          <w:color w:val="000000"/>
          <w:sz w:val="22"/>
          <w:szCs w:val="22"/>
          <w:lang w:eastAsia="es-MX"/>
        </w:rPr>
        <w:t xml:space="preserve"> de </w:t>
      </w:r>
      <w:r w:rsidR="00122DC6">
        <w:rPr>
          <w:rFonts w:eastAsia="Times New Roman" w:cs="Times New Roman"/>
          <w:color w:val="000000"/>
          <w:sz w:val="22"/>
          <w:szCs w:val="22"/>
          <w:lang w:eastAsia="es-MX"/>
        </w:rPr>
        <w:t>diciembre</w:t>
      </w:r>
      <w:r>
        <w:rPr>
          <w:rFonts w:eastAsia="Times New Roman" w:cs="Times New Roman"/>
          <w:color w:val="000000"/>
          <w:sz w:val="22"/>
          <w:szCs w:val="22"/>
          <w:lang w:eastAsia="es-MX"/>
        </w:rPr>
        <w:t xml:space="preserve"> de 202</w:t>
      </w:r>
      <w:r w:rsidR="005856EF">
        <w:rPr>
          <w:rFonts w:eastAsia="Times New Roman" w:cs="Times New Roman"/>
          <w:color w:val="000000"/>
          <w:sz w:val="22"/>
          <w:szCs w:val="22"/>
          <w:lang w:eastAsia="es-MX"/>
        </w:rPr>
        <w:t>2</w:t>
      </w:r>
      <w:r w:rsidRPr="001E04E3">
        <w:rPr>
          <w:rFonts w:eastAsia="Times New Roman" w:cs="Times New Roman"/>
          <w:color w:val="000000"/>
          <w:sz w:val="22"/>
          <w:szCs w:val="22"/>
          <w:lang w:eastAsia="es-MX"/>
        </w:rPr>
        <w:t>, pasivos por obligaciones fiscales y laborales, acreedores diversos y pasivos por deudas contraídas a corto y largo plazo.</w:t>
      </w:r>
    </w:p>
    <w:p w14:paraId="1D0F263B" w14:textId="1C58F322" w:rsidR="00744BAB" w:rsidRPr="0070010C" w:rsidRDefault="00450813" w:rsidP="0070010C">
      <w:pPr>
        <w:tabs>
          <w:tab w:val="left" w:pos="480"/>
        </w:tabs>
        <w:spacing w:before="120" w:after="120"/>
        <w:jc w:val="center"/>
        <w:rPr>
          <w:rFonts w:eastAsia="Calibri" w:cs="Times New Roman"/>
          <w:b/>
          <w:color w:val="000000"/>
        </w:rPr>
      </w:pPr>
      <w:r w:rsidRPr="00450813">
        <w:rPr>
          <w:noProof/>
        </w:rPr>
        <w:drawing>
          <wp:inline distT="0" distB="0" distL="0" distR="0" wp14:anchorId="17AF9520" wp14:editId="1EBBA52B">
            <wp:extent cx="6351270" cy="652780"/>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6351270" cy="652780"/>
                    </a:xfrm>
                    <a:prstGeom prst="rect">
                      <a:avLst/>
                    </a:prstGeom>
                    <a:noFill/>
                    <a:ln>
                      <a:noFill/>
                    </a:ln>
                  </pic:spPr>
                </pic:pic>
              </a:graphicData>
            </a:graphic>
          </wp:inline>
        </w:drawing>
      </w:r>
    </w:p>
    <w:p w14:paraId="06DE75A1" w14:textId="0BF38E3D" w:rsidR="00744BAB" w:rsidRPr="001E04E3" w:rsidRDefault="0070010C" w:rsidP="005A01C9">
      <w:pPr>
        <w:widowControl w:val="0"/>
        <w:kinsoku w:val="0"/>
        <w:spacing w:before="0" w:after="0"/>
        <w:contextualSpacing/>
        <w:rPr>
          <w:rFonts w:eastAsia="Times New Roman" w:cs="Times New Roman"/>
          <w:b/>
          <w:color w:val="000000"/>
          <w:sz w:val="22"/>
          <w:szCs w:val="22"/>
          <w:lang w:eastAsia="es-MX"/>
        </w:rPr>
      </w:pPr>
      <w:r>
        <w:rPr>
          <w:rFonts w:eastAsia="Times New Roman" w:cs="Times New Roman"/>
          <w:b/>
          <w:color w:val="000000"/>
          <w:sz w:val="22"/>
          <w:szCs w:val="22"/>
          <w:lang w:eastAsia="es-MX"/>
        </w:rPr>
        <w:t xml:space="preserve">1. </w:t>
      </w:r>
      <w:r w:rsidR="00B82D70" w:rsidRPr="001E04E3">
        <w:rPr>
          <w:rFonts w:eastAsia="Times New Roman" w:cs="Times New Roman"/>
          <w:b/>
          <w:color w:val="000000"/>
          <w:sz w:val="22"/>
          <w:szCs w:val="22"/>
          <w:lang w:eastAsia="es-MX"/>
        </w:rPr>
        <w:t>PASIVO CIRCULANTE</w:t>
      </w:r>
      <w:r>
        <w:rPr>
          <w:rFonts w:eastAsia="Times New Roman" w:cs="Times New Roman"/>
          <w:b/>
          <w:color w:val="000000"/>
          <w:sz w:val="22"/>
          <w:szCs w:val="22"/>
          <w:lang w:eastAsia="es-MX"/>
        </w:rPr>
        <w:t xml:space="preserve"> (CUENTAS POR PAGAR A 30, 90, 180 Y MENOR O IGUAL A 365 DÍAS)</w:t>
      </w:r>
      <w:r w:rsidR="00B82D70" w:rsidRPr="001E04E3">
        <w:rPr>
          <w:rFonts w:eastAsia="Times New Roman" w:cs="Times New Roman"/>
          <w:b/>
          <w:color w:val="000000"/>
          <w:sz w:val="22"/>
          <w:szCs w:val="22"/>
          <w:lang w:eastAsia="es-MX"/>
        </w:rPr>
        <w:t xml:space="preserve"> </w:t>
      </w:r>
    </w:p>
    <w:p w14:paraId="521A494A" w14:textId="77777777" w:rsidR="00B82D70" w:rsidRPr="001E04E3" w:rsidRDefault="00B82D70" w:rsidP="00B82D70">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1288ED57" w14:textId="1759A630" w:rsidR="005A01C9" w:rsidRPr="008027FC" w:rsidRDefault="00450813" w:rsidP="008027FC">
      <w:pPr>
        <w:widowControl w:val="0"/>
        <w:kinsoku w:val="0"/>
        <w:spacing w:before="120" w:after="120"/>
        <w:ind w:left="426" w:hanging="142"/>
        <w:contextualSpacing/>
        <w:jc w:val="center"/>
        <w:rPr>
          <w:rFonts w:eastAsia="Times New Roman" w:cs="Times New Roman"/>
          <w:color w:val="000000"/>
          <w:lang w:eastAsia="es-MX"/>
        </w:rPr>
      </w:pPr>
      <w:r w:rsidRPr="00450813">
        <w:rPr>
          <w:noProof/>
        </w:rPr>
        <w:drawing>
          <wp:inline distT="0" distB="0" distL="0" distR="0" wp14:anchorId="0BA11679" wp14:editId="2C3B52CA">
            <wp:extent cx="6351270" cy="1136015"/>
            <wp:effectExtent l="0" t="0" r="0" b="698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6351270" cy="1136015"/>
                    </a:xfrm>
                    <a:prstGeom prst="rect">
                      <a:avLst/>
                    </a:prstGeom>
                    <a:noFill/>
                    <a:ln>
                      <a:noFill/>
                    </a:ln>
                  </pic:spPr>
                </pic:pic>
              </a:graphicData>
            </a:graphic>
          </wp:inline>
        </w:drawing>
      </w:r>
    </w:p>
    <w:p w14:paraId="3E3D466E" w14:textId="77777777" w:rsidR="005A01C9" w:rsidRDefault="005A01C9" w:rsidP="00B82D70">
      <w:pPr>
        <w:widowControl w:val="0"/>
        <w:kinsoku w:val="0"/>
        <w:spacing w:before="0" w:after="0"/>
        <w:contextualSpacing/>
        <w:rPr>
          <w:rFonts w:eastAsia="Times New Roman" w:cs="Times New Roman"/>
          <w:b/>
          <w:color w:val="000000"/>
          <w:sz w:val="22"/>
          <w:szCs w:val="22"/>
          <w:lang w:eastAsia="es-MX"/>
        </w:rPr>
      </w:pPr>
    </w:p>
    <w:p w14:paraId="7C8A0B3B" w14:textId="6FA959FE" w:rsidR="00B82D70" w:rsidRPr="008027FC" w:rsidRDefault="00B82D70" w:rsidP="00B82D70">
      <w:pPr>
        <w:widowControl w:val="0"/>
        <w:kinsoku w:val="0"/>
        <w:spacing w:before="0" w:after="0"/>
        <w:contextualSpacing/>
        <w:rPr>
          <w:rFonts w:eastAsia="Times New Roman" w:cs="Times New Roman"/>
          <w:b/>
          <w:color w:val="000000"/>
          <w:sz w:val="22"/>
          <w:szCs w:val="22"/>
          <w:lang w:eastAsia="es-MX"/>
        </w:rPr>
      </w:pPr>
      <w:r w:rsidRPr="004565FA">
        <w:rPr>
          <w:rFonts w:eastAsia="Times New Roman" w:cs="Times New Roman"/>
          <w:b/>
          <w:color w:val="000000"/>
          <w:sz w:val="22"/>
          <w:szCs w:val="22"/>
          <w:lang w:eastAsia="es-MX"/>
        </w:rPr>
        <w:t>CUE</w:t>
      </w:r>
      <w:r>
        <w:rPr>
          <w:rFonts w:eastAsia="Times New Roman" w:cs="Times New Roman"/>
          <w:b/>
          <w:color w:val="000000"/>
          <w:sz w:val="22"/>
          <w:szCs w:val="22"/>
          <w:lang w:eastAsia="es-MX"/>
        </w:rPr>
        <w:t>NTAS POR PAGAR A CORTO PLAZO</w:t>
      </w:r>
      <w:r w:rsidRPr="008E7DF3">
        <w:rPr>
          <w:rFonts w:eastAsia="Calibri" w:cs="Times New Roman"/>
          <w:sz w:val="22"/>
          <w:szCs w:val="22"/>
          <w:highlight w:val="yellow"/>
        </w:rPr>
        <w:t xml:space="preserve"> </w:t>
      </w:r>
    </w:p>
    <w:p w14:paraId="49F584AF" w14:textId="700826C7" w:rsidR="00C0303A" w:rsidRDefault="00B82D70" w:rsidP="00B82D70">
      <w:pPr>
        <w:widowControl w:val="0"/>
        <w:kinsoku w:val="0"/>
        <w:spacing w:before="0" w:after="0"/>
        <w:contextualSpacing/>
        <w:rPr>
          <w:rFonts w:eastAsia="Times New Roman" w:cs="Times New Roman"/>
          <w:color w:val="000000"/>
          <w:sz w:val="22"/>
          <w:szCs w:val="22"/>
          <w:lang w:eastAsia="es-MX"/>
        </w:rPr>
      </w:pPr>
      <w:r w:rsidRPr="00532DAA">
        <w:rPr>
          <w:rFonts w:eastAsia="Times New Roman" w:cs="Times New Roman"/>
          <w:color w:val="000000"/>
          <w:sz w:val="22"/>
          <w:szCs w:val="22"/>
          <w:lang w:eastAsia="es-MX"/>
        </w:rPr>
        <w:t>En el renglón de Cuentas por Pagar Corto Plazo, se incluyeron, para su presentación, los siguientes conceptos:</w:t>
      </w:r>
    </w:p>
    <w:p w14:paraId="15565F50" w14:textId="16E7C609" w:rsidR="00B82D70" w:rsidRPr="005A01C9" w:rsidRDefault="00450813" w:rsidP="005A01C9">
      <w:pPr>
        <w:widowControl w:val="0"/>
        <w:kinsoku w:val="0"/>
        <w:spacing w:before="0" w:after="0"/>
        <w:contextualSpacing/>
        <w:jc w:val="center"/>
        <w:rPr>
          <w:rFonts w:eastAsia="Times New Roman" w:cs="Times New Roman"/>
          <w:color w:val="833C0B"/>
          <w:lang w:eastAsia="es-MX"/>
        </w:rPr>
      </w:pPr>
      <w:r w:rsidRPr="00450813">
        <w:rPr>
          <w:noProof/>
        </w:rPr>
        <w:drawing>
          <wp:inline distT="0" distB="0" distL="0" distR="0" wp14:anchorId="3FC78321" wp14:editId="150E629F">
            <wp:extent cx="6351270" cy="1891030"/>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6351270" cy="1891030"/>
                    </a:xfrm>
                    <a:prstGeom prst="rect">
                      <a:avLst/>
                    </a:prstGeom>
                    <a:noFill/>
                    <a:ln>
                      <a:noFill/>
                    </a:ln>
                  </pic:spPr>
                </pic:pic>
              </a:graphicData>
            </a:graphic>
          </wp:inline>
        </w:drawing>
      </w:r>
    </w:p>
    <w:p w14:paraId="266B3B32" w14:textId="396AC529" w:rsidR="008027FC" w:rsidRDefault="008027FC" w:rsidP="00B82D70">
      <w:pPr>
        <w:spacing w:before="0" w:after="0"/>
        <w:rPr>
          <w:rFonts w:eastAsia="Calibri" w:cs="Times New Roman"/>
          <w:b/>
          <w:sz w:val="22"/>
          <w:szCs w:val="22"/>
        </w:rPr>
      </w:pPr>
    </w:p>
    <w:p w14:paraId="60E67A22" w14:textId="711756D3" w:rsidR="0070010C" w:rsidRPr="00A11EAF" w:rsidRDefault="0070010C" w:rsidP="0070010C">
      <w:pPr>
        <w:spacing w:before="0" w:after="0"/>
        <w:rPr>
          <w:rFonts w:eastAsia="Calibri" w:cs="Times New Roman"/>
          <w:b/>
          <w:sz w:val="22"/>
          <w:szCs w:val="22"/>
        </w:rPr>
      </w:pPr>
      <w:r w:rsidRPr="00A11EAF">
        <w:rPr>
          <w:rFonts w:eastAsia="Calibri" w:cs="Times New Roman"/>
          <w:b/>
          <w:sz w:val="22"/>
          <w:szCs w:val="22"/>
        </w:rPr>
        <w:t>OTROS PASIVOS A CORTO PLAZO</w:t>
      </w:r>
    </w:p>
    <w:p w14:paraId="04E8508F" w14:textId="77777777" w:rsidR="0070010C" w:rsidRDefault="0070010C" w:rsidP="0070010C">
      <w:pPr>
        <w:spacing w:before="0" w:after="0"/>
        <w:rPr>
          <w:rFonts w:eastAsia="Calibri" w:cs="Times New Roman"/>
          <w:sz w:val="22"/>
          <w:szCs w:val="22"/>
        </w:rPr>
      </w:pPr>
      <w:r>
        <w:rPr>
          <w:rFonts w:eastAsia="Calibri" w:cs="Times New Roman"/>
          <w:sz w:val="22"/>
          <w:szCs w:val="22"/>
        </w:rPr>
        <w:t>La cuenta de Otros Pasivos a Corto P</w:t>
      </w:r>
      <w:r w:rsidRPr="00A11EAF">
        <w:rPr>
          <w:rFonts w:eastAsia="Calibri" w:cs="Times New Roman"/>
          <w:sz w:val="22"/>
          <w:szCs w:val="22"/>
        </w:rPr>
        <w:t>lazo se integra por los siguientes conceptos:</w:t>
      </w:r>
    </w:p>
    <w:p w14:paraId="5F672822" w14:textId="77777777" w:rsidR="0070010C" w:rsidRPr="00290880" w:rsidRDefault="0070010C" w:rsidP="0070010C">
      <w:pPr>
        <w:spacing w:before="0" w:after="0"/>
        <w:rPr>
          <w:rFonts w:eastAsia="Calibri" w:cs="Times New Roman"/>
          <w:sz w:val="10"/>
          <w:szCs w:val="10"/>
        </w:rPr>
      </w:pPr>
    </w:p>
    <w:p w14:paraId="137B844F" w14:textId="3D036B72" w:rsidR="0070010C" w:rsidRPr="003310B5" w:rsidRDefault="00450813" w:rsidP="00122DC6">
      <w:pPr>
        <w:spacing w:before="120" w:after="120"/>
        <w:ind w:left="426"/>
        <w:jc w:val="center"/>
        <w:rPr>
          <w:rFonts w:eastAsia="Calibri" w:cs="Times New Roman"/>
        </w:rPr>
      </w:pPr>
      <w:r w:rsidRPr="00450813">
        <w:rPr>
          <w:noProof/>
        </w:rPr>
        <w:drawing>
          <wp:inline distT="0" distB="0" distL="0" distR="0" wp14:anchorId="3513249C" wp14:editId="60B83E66">
            <wp:extent cx="6351270" cy="763270"/>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6351270" cy="763270"/>
                    </a:xfrm>
                    <a:prstGeom prst="rect">
                      <a:avLst/>
                    </a:prstGeom>
                    <a:noFill/>
                    <a:ln>
                      <a:noFill/>
                    </a:ln>
                  </pic:spPr>
                </pic:pic>
              </a:graphicData>
            </a:graphic>
          </wp:inline>
        </w:drawing>
      </w:r>
    </w:p>
    <w:p w14:paraId="501A8B17" w14:textId="048F8A05" w:rsidR="0070010C" w:rsidRDefault="0070010C" w:rsidP="0070010C">
      <w:pPr>
        <w:spacing w:before="0" w:after="0"/>
        <w:rPr>
          <w:rFonts w:eastAsia="Calibri" w:cs="Times New Roman"/>
          <w:b/>
          <w:sz w:val="22"/>
          <w:szCs w:val="22"/>
        </w:rPr>
      </w:pPr>
      <w:r w:rsidRPr="00532DAA">
        <w:rPr>
          <w:rFonts w:eastAsia="Calibri" w:cs="Times New Roman"/>
          <w:sz w:val="22"/>
          <w:szCs w:val="22"/>
        </w:rPr>
        <w:t>El saldo de este apartado</w:t>
      </w:r>
      <w:r>
        <w:rPr>
          <w:rFonts w:eastAsia="Calibri" w:cs="Times New Roman"/>
          <w:sz w:val="22"/>
          <w:szCs w:val="22"/>
        </w:rPr>
        <w:t>,</w:t>
      </w:r>
      <w:r w:rsidRPr="00532DAA">
        <w:rPr>
          <w:rFonts w:eastAsia="Calibri" w:cs="Times New Roman"/>
          <w:sz w:val="22"/>
          <w:szCs w:val="22"/>
        </w:rPr>
        <w:t xml:space="preserve"> está integrado prácticamente por los conceptos federales recaudados </w:t>
      </w:r>
      <w:r>
        <w:rPr>
          <w:rFonts w:eastAsia="Calibri" w:cs="Times New Roman"/>
          <w:sz w:val="22"/>
          <w:szCs w:val="22"/>
        </w:rPr>
        <w:t>d</w:t>
      </w:r>
      <w:r w:rsidRPr="005A26B7">
        <w:rPr>
          <w:rFonts w:eastAsia="Calibri" w:cs="Times New Roman"/>
          <w:sz w:val="22"/>
          <w:szCs w:val="22"/>
        </w:rPr>
        <w:t xml:space="preserve">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 se compensan estos saldos al mes siguiente tal como lo estipula la legislación mencionada. </w:t>
      </w:r>
      <w:r>
        <w:rPr>
          <w:rFonts w:eastAsia="Calibri" w:cs="Times New Roman"/>
          <w:sz w:val="22"/>
          <w:szCs w:val="22"/>
        </w:rPr>
        <w:t>Al</w:t>
      </w:r>
      <w:r w:rsidRPr="00532DAA">
        <w:rPr>
          <w:rFonts w:eastAsia="Calibri" w:cs="Times New Roman"/>
          <w:sz w:val="22"/>
          <w:szCs w:val="22"/>
        </w:rPr>
        <w:t xml:space="preserve"> cierre del </w:t>
      </w:r>
      <w:r>
        <w:rPr>
          <w:rFonts w:eastAsia="Calibri" w:cs="Times New Roman"/>
          <w:sz w:val="22"/>
          <w:szCs w:val="22"/>
        </w:rPr>
        <w:t>período</w:t>
      </w:r>
      <w:r w:rsidRPr="00532DAA">
        <w:rPr>
          <w:rFonts w:eastAsia="Calibri" w:cs="Times New Roman"/>
          <w:sz w:val="22"/>
          <w:szCs w:val="22"/>
        </w:rPr>
        <w:t xml:space="preserve"> no se han compensado con la federación ya que </w:t>
      </w:r>
      <w:r w:rsidRPr="0048600E">
        <w:rPr>
          <w:rFonts w:eastAsia="Calibri" w:cs="Times New Roman"/>
          <w:sz w:val="22"/>
          <w:szCs w:val="22"/>
        </w:rPr>
        <w:t>representan el 9</w:t>
      </w:r>
      <w:r>
        <w:rPr>
          <w:rFonts w:eastAsia="Calibri" w:cs="Times New Roman"/>
          <w:sz w:val="22"/>
          <w:szCs w:val="22"/>
        </w:rPr>
        <w:t>1</w:t>
      </w:r>
      <w:r w:rsidRPr="0048600E">
        <w:rPr>
          <w:rFonts w:eastAsia="Calibri" w:cs="Times New Roman"/>
          <w:sz w:val="22"/>
          <w:szCs w:val="22"/>
        </w:rPr>
        <w:t>.</w:t>
      </w:r>
      <w:r>
        <w:rPr>
          <w:rFonts w:eastAsia="Calibri" w:cs="Times New Roman"/>
          <w:sz w:val="22"/>
          <w:szCs w:val="22"/>
        </w:rPr>
        <w:t>88</w:t>
      </w:r>
      <w:r w:rsidRPr="0048600E">
        <w:rPr>
          <w:rFonts w:eastAsia="Calibri" w:cs="Times New Roman"/>
          <w:sz w:val="22"/>
          <w:szCs w:val="22"/>
        </w:rPr>
        <w:t>% del total</w:t>
      </w:r>
    </w:p>
    <w:p w14:paraId="0E760690" w14:textId="77777777" w:rsidR="0070010C" w:rsidRDefault="0070010C" w:rsidP="00B82D70">
      <w:pPr>
        <w:spacing w:before="0" w:after="0"/>
        <w:rPr>
          <w:rFonts w:eastAsia="Calibri" w:cs="Times New Roman"/>
          <w:b/>
          <w:sz w:val="22"/>
          <w:szCs w:val="22"/>
        </w:rPr>
      </w:pPr>
    </w:p>
    <w:p w14:paraId="7B2B94C1" w14:textId="11C6C1B2" w:rsidR="00B82D70" w:rsidRPr="009C21A2" w:rsidRDefault="00B82D70" w:rsidP="00B82D70">
      <w:pPr>
        <w:spacing w:before="0" w:after="0"/>
        <w:rPr>
          <w:rFonts w:eastAsia="Calibri" w:cs="Times New Roman"/>
          <w:b/>
          <w:sz w:val="22"/>
          <w:szCs w:val="22"/>
        </w:rPr>
      </w:pPr>
      <w:r w:rsidRPr="009C21A2">
        <w:rPr>
          <w:rFonts w:eastAsia="Calibri" w:cs="Times New Roman"/>
          <w:b/>
          <w:sz w:val="22"/>
          <w:szCs w:val="22"/>
        </w:rPr>
        <w:lastRenderedPageBreak/>
        <w:t>2.- FONDOS Y BIENES DE TERCEROS EN GAR</w:t>
      </w:r>
      <w:r>
        <w:rPr>
          <w:rFonts w:eastAsia="Calibri" w:cs="Times New Roman"/>
          <w:b/>
          <w:sz w:val="22"/>
          <w:szCs w:val="22"/>
        </w:rPr>
        <w:t>ANTÍA Y/O ADMINISTRACIÓ</w:t>
      </w:r>
      <w:r w:rsidRPr="009C21A2">
        <w:rPr>
          <w:rFonts w:eastAsia="Calibri" w:cs="Times New Roman"/>
          <w:b/>
          <w:sz w:val="22"/>
          <w:szCs w:val="22"/>
        </w:rPr>
        <w:t>N</w:t>
      </w:r>
    </w:p>
    <w:p w14:paraId="51F6B76F" w14:textId="43B43FDA" w:rsidR="00B82D70" w:rsidRDefault="00B82D70" w:rsidP="00B82D70">
      <w:pPr>
        <w:spacing w:before="0" w:after="0"/>
        <w:rPr>
          <w:rFonts w:eastAsia="Calibri" w:cs="Times New Roman"/>
          <w:sz w:val="22"/>
          <w:szCs w:val="22"/>
        </w:rPr>
      </w:pPr>
      <w:r>
        <w:rPr>
          <w:rFonts w:eastAsia="Calibri" w:cs="Times New Roman"/>
          <w:sz w:val="22"/>
          <w:szCs w:val="22"/>
        </w:rPr>
        <w:t>El renglón de Fondos y B</w:t>
      </w:r>
      <w:r w:rsidRPr="00532DAA">
        <w:rPr>
          <w:rFonts w:eastAsia="Calibri" w:cs="Times New Roman"/>
          <w:sz w:val="22"/>
          <w:szCs w:val="22"/>
        </w:rPr>
        <w:t xml:space="preserve">ienes de </w:t>
      </w:r>
      <w:r>
        <w:rPr>
          <w:rFonts w:eastAsia="Calibri" w:cs="Times New Roman"/>
          <w:sz w:val="22"/>
          <w:szCs w:val="22"/>
        </w:rPr>
        <w:t>Terceros en Garantía y/ o Administración a Corto P</w:t>
      </w:r>
      <w:r w:rsidRPr="00532DAA">
        <w:rPr>
          <w:rFonts w:eastAsia="Calibri" w:cs="Times New Roman"/>
          <w:sz w:val="22"/>
          <w:szCs w:val="22"/>
        </w:rPr>
        <w:t>lazo</w:t>
      </w:r>
      <w:r>
        <w:rPr>
          <w:rFonts w:eastAsia="Calibri" w:cs="Times New Roman"/>
          <w:sz w:val="22"/>
          <w:szCs w:val="22"/>
        </w:rPr>
        <w:t>,</w:t>
      </w:r>
      <w:r w:rsidRPr="00532DAA">
        <w:rPr>
          <w:rFonts w:eastAsia="Calibri" w:cs="Times New Roman"/>
          <w:sz w:val="22"/>
          <w:szCs w:val="22"/>
        </w:rPr>
        <w:t xml:space="preserve"> se integra la de los siguientes fondos:</w:t>
      </w:r>
    </w:p>
    <w:p w14:paraId="750257B2" w14:textId="590237F2" w:rsidR="008027FC" w:rsidRDefault="00122DC6" w:rsidP="00B82D70">
      <w:pPr>
        <w:spacing w:before="0" w:after="0"/>
        <w:rPr>
          <w:rFonts w:eastAsia="Calibri" w:cs="Times New Roman"/>
          <w:sz w:val="22"/>
          <w:szCs w:val="22"/>
        </w:rPr>
      </w:pPr>
      <w:r>
        <w:rPr>
          <w:noProof/>
        </w:rPr>
        <w:drawing>
          <wp:inline distT="0" distB="0" distL="0" distR="0" wp14:anchorId="4529317B" wp14:editId="23365C06">
            <wp:extent cx="6351270" cy="760095"/>
            <wp:effectExtent l="0" t="0" r="0" b="1905"/>
            <wp:docPr id="70" name="Imagen 69">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69">
                      <a:extLst>
                        <a:ext uri="{FF2B5EF4-FFF2-40B4-BE49-F238E27FC236}">
                          <a16:creationId xmlns:a16="http://schemas.microsoft.com/office/drawing/2014/main" id="{00000000-0008-0000-0000-000046000000}"/>
                        </a:ext>
                      </a:extLst>
                    </pic:cNvPr>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6351270" cy="760095"/>
                    </a:xfrm>
                    <a:prstGeom prst="rect">
                      <a:avLst/>
                    </a:prstGeom>
                    <a:noFill/>
                  </pic:spPr>
                </pic:pic>
              </a:graphicData>
            </a:graphic>
          </wp:inline>
        </w:drawing>
      </w:r>
    </w:p>
    <w:p w14:paraId="12936FC1" w14:textId="15E0ABAC" w:rsidR="00B82D70" w:rsidRPr="00071170" w:rsidRDefault="00B82D70" w:rsidP="00071170">
      <w:pPr>
        <w:spacing w:before="0" w:after="0"/>
        <w:rPr>
          <w:rFonts w:eastAsia="Calibri" w:cs="Times New Roman"/>
          <w:sz w:val="10"/>
          <w:szCs w:val="10"/>
        </w:rPr>
      </w:pPr>
    </w:p>
    <w:p w14:paraId="3D32FB0E" w14:textId="77777777" w:rsidR="00B82D70" w:rsidRPr="00A11EAF" w:rsidRDefault="00B82D70" w:rsidP="00B82D70">
      <w:pPr>
        <w:spacing w:before="0" w:after="0"/>
        <w:rPr>
          <w:rFonts w:eastAsia="Calibri" w:cs="Times New Roman"/>
          <w:color w:val="000000"/>
          <w:sz w:val="22"/>
          <w:szCs w:val="22"/>
        </w:rPr>
      </w:pPr>
      <w:r w:rsidRPr="00A11EAF">
        <w:rPr>
          <w:rFonts w:eastAsia="Calibri" w:cs="Times New Roman"/>
          <w:color w:val="000000"/>
          <w:sz w:val="22"/>
          <w:szCs w:val="22"/>
        </w:rPr>
        <w:t>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67D62DE9" w14:textId="77777777" w:rsidR="00B82D70" w:rsidRDefault="00B82D70" w:rsidP="00B82D70">
      <w:pPr>
        <w:spacing w:before="0" w:after="0"/>
        <w:ind w:left="425"/>
        <w:rPr>
          <w:rFonts w:eastAsia="Calibri" w:cs="Times New Roman"/>
          <w:sz w:val="22"/>
          <w:szCs w:val="22"/>
        </w:rPr>
      </w:pPr>
    </w:p>
    <w:p w14:paraId="1EAC3E14" w14:textId="77777777" w:rsidR="00B82D70" w:rsidRDefault="00B82D70" w:rsidP="00B82D70">
      <w:pPr>
        <w:spacing w:before="0" w:after="0"/>
        <w:rPr>
          <w:rFonts w:eastAsia="Calibri" w:cs="Times New Roman"/>
          <w:sz w:val="22"/>
          <w:szCs w:val="22"/>
        </w:rPr>
      </w:pPr>
      <w:r w:rsidRPr="00A11EAF">
        <w:rPr>
          <w:rFonts w:eastAsia="Calibri" w:cs="Times New Roman"/>
          <w:sz w:val="22"/>
          <w:szCs w:val="22"/>
        </w:rPr>
        <w:t>Los recursos</w:t>
      </w:r>
      <w:r>
        <w:rPr>
          <w:rFonts w:eastAsia="Calibri" w:cs="Times New Roman"/>
          <w:sz w:val="22"/>
          <w:szCs w:val="22"/>
        </w:rPr>
        <w:t xml:space="preserve"> que se reciben como Fondos en A</w:t>
      </w:r>
      <w:r w:rsidRPr="00A11EAF">
        <w:rPr>
          <w:rFonts w:eastAsia="Calibri" w:cs="Times New Roman"/>
          <w:sz w:val="22"/>
          <w:szCs w:val="22"/>
        </w:rPr>
        <w:t>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49E62DAC" w14:textId="77777777" w:rsidR="00B82D70" w:rsidRPr="00A11EAF" w:rsidRDefault="00B82D70" w:rsidP="00E50EC4">
      <w:pPr>
        <w:spacing w:before="0" w:after="0"/>
        <w:rPr>
          <w:rFonts w:eastAsia="Calibri" w:cs="Times New Roman"/>
          <w:sz w:val="22"/>
          <w:szCs w:val="22"/>
        </w:rPr>
      </w:pPr>
    </w:p>
    <w:p w14:paraId="395EF2C0" w14:textId="74C0055B" w:rsidR="00B924C2" w:rsidRPr="00DC4056" w:rsidRDefault="00B82D70" w:rsidP="0070010C">
      <w:pPr>
        <w:spacing w:before="0" w:after="0"/>
        <w:rPr>
          <w:rFonts w:eastAsia="Calibri" w:cs="Times New Roman"/>
          <w:sz w:val="22"/>
          <w:szCs w:val="22"/>
        </w:rPr>
      </w:pPr>
      <w:r w:rsidRPr="00A11EAF">
        <w:rPr>
          <w:rFonts w:eastAsia="Calibri" w:cs="Times New Roman"/>
          <w:sz w:val="22"/>
          <w:szCs w:val="22"/>
        </w:rPr>
        <w:t xml:space="preserve">Entre ellos se encuentran, aquellos que se reciben para la regularización de fraccionamientos, algunas aportaciones de acreedores del </w:t>
      </w:r>
      <w:r w:rsidRPr="005A5120">
        <w:rPr>
          <w:rFonts w:eastAsia="Calibri" w:cs="Times New Roman"/>
          <w:color w:val="000000"/>
          <w:sz w:val="22"/>
          <w:szCs w:val="22"/>
        </w:rPr>
        <w:t>Instituto de Seguridad y Servicios Sociales de los</w:t>
      </w:r>
      <w:r>
        <w:rPr>
          <w:rFonts w:eastAsia="Calibri" w:cs="Times New Roman"/>
          <w:color w:val="000000"/>
          <w:sz w:val="22"/>
          <w:szCs w:val="22"/>
        </w:rPr>
        <w:t xml:space="preserve"> Trabajadores del Estado</w:t>
      </w:r>
      <w:r w:rsidRPr="00A11EAF">
        <w:rPr>
          <w:rFonts w:eastAsia="Calibri" w:cs="Times New Roman"/>
          <w:sz w:val="22"/>
          <w:szCs w:val="22"/>
        </w:rPr>
        <w:t>, o por concepto de cinco al millar de obras por parte de diversos Entes Públicos para entregar a la Secretaría de Contraloría, o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p>
    <w:p w14:paraId="3287F308" w14:textId="77777777" w:rsidR="00E7156D" w:rsidRDefault="00E7156D" w:rsidP="00B82D70">
      <w:pPr>
        <w:widowControl w:val="0"/>
        <w:kinsoku w:val="0"/>
        <w:spacing w:before="0" w:after="0"/>
        <w:contextualSpacing/>
        <w:rPr>
          <w:rFonts w:eastAsia="Times New Roman" w:cs="Times New Roman"/>
          <w:b/>
          <w:color w:val="000000"/>
          <w:sz w:val="22"/>
          <w:szCs w:val="22"/>
          <w:lang w:eastAsia="es-MX"/>
        </w:rPr>
      </w:pPr>
    </w:p>
    <w:p w14:paraId="5726ADA4" w14:textId="44B6C3F2" w:rsidR="00B82D70" w:rsidRPr="00A11EAF" w:rsidRDefault="00B82D70" w:rsidP="00B82D70">
      <w:pPr>
        <w:widowControl w:val="0"/>
        <w:kinsoku w:val="0"/>
        <w:spacing w:before="0" w:after="0"/>
        <w:contextualSpacing/>
        <w:rPr>
          <w:rFonts w:eastAsia="Times New Roman" w:cs="Times New Roman"/>
          <w:b/>
          <w:color w:val="000000"/>
          <w:sz w:val="22"/>
          <w:szCs w:val="22"/>
          <w:lang w:eastAsia="es-MX"/>
        </w:rPr>
      </w:pPr>
      <w:r w:rsidRPr="00A11EAF">
        <w:rPr>
          <w:rFonts w:eastAsia="Times New Roman" w:cs="Times New Roman"/>
          <w:b/>
          <w:color w:val="000000"/>
          <w:sz w:val="22"/>
          <w:szCs w:val="22"/>
          <w:lang w:eastAsia="es-MX"/>
        </w:rPr>
        <w:t>PASIVO NO CIRCULANTE</w:t>
      </w:r>
      <w:r w:rsidR="0070010C">
        <w:rPr>
          <w:rFonts w:eastAsia="Times New Roman" w:cs="Times New Roman"/>
          <w:b/>
          <w:color w:val="000000"/>
          <w:sz w:val="22"/>
          <w:szCs w:val="22"/>
          <w:lang w:eastAsia="es-MX"/>
        </w:rPr>
        <w:t xml:space="preserve"> (CUENTAS POR PAGAR CON VENCIMIENTO MAYOR A 365 DÍAS)</w:t>
      </w:r>
    </w:p>
    <w:p w14:paraId="01E05422" w14:textId="2DE20227" w:rsidR="00B82D70" w:rsidRDefault="00B82D70" w:rsidP="00B82D70">
      <w:pPr>
        <w:widowControl w:val="0"/>
        <w:kinsoku w:val="0"/>
        <w:spacing w:before="0" w:after="0"/>
        <w:contextualSpacing/>
        <w:rPr>
          <w:rFonts w:eastAsia="Times New Roman" w:cs="Times New Roman"/>
          <w:color w:val="000000"/>
          <w:sz w:val="22"/>
          <w:szCs w:val="22"/>
          <w:lang w:eastAsia="es-MX"/>
        </w:rPr>
      </w:pPr>
      <w:r w:rsidRPr="00A11EAF">
        <w:rPr>
          <w:rFonts w:eastAsia="Times New Roman" w:cs="Times New Roman"/>
          <w:color w:val="000000"/>
          <w:sz w:val="22"/>
          <w:szCs w:val="22"/>
          <w:lang w:eastAsia="es-MX"/>
        </w:rPr>
        <w:t xml:space="preserve">El pasivo no circulante se </w:t>
      </w:r>
      <w:r>
        <w:rPr>
          <w:rFonts w:eastAsia="Times New Roman" w:cs="Times New Roman"/>
          <w:color w:val="000000"/>
          <w:sz w:val="22"/>
          <w:szCs w:val="22"/>
          <w:lang w:eastAsia="es-MX"/>
        </w:rPr>
        <w:t>integra la Deuda Pública a Largo P</w:t>
      </w:r>
      <w:r w:rsidRPr="00A11EAF">
        <w:rPr>
          <w:rFonts w:eastAsia="Times New Roman" w:cs="Times New Roman"/>
          <w:color w:val="000000"/>
          <w:sz w:val="22"/>
          <w:szCs w:val="22"/>
          <w:lang w:eastAsia="es-MX"/>
        </w:rPr>
        <w:t>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581387E1" w14:textId="77777777" w:rsidR="00B82D70" w:rsidRDefault="00B82D70" w:rsidP="00B82D70">
      <w:pPr>
        <w:widowControl w:val="0"/>
        <w:kinsoku w:val="0"/>
        <w:spacing w:before="0" w:after="0"/>
        <w:contextualSpacing/>
        <w:rPr>
          <w:rFonts w:eastAsia="Times New Roman" w:cs="Times New Roman"/>
          <w:color w:val="000000"/>
          <w:sz w:val="10"/>
          <w:szCs w:val="10"/>
          <w:lang w:eastAsia="es-MX"/>
        </w:rPr>
      </w:pPr>
    </w:p>
    <w:p w14:paraId="351F749A" w14:textId="77777777" w:rsidR="009627F2" w:rsidRDefault="00122DC6" w:rsidP="00B82D70">
      <w:pPr>
        <w:jc w:val="center"/>
        <w:rPr>
          <w:color w:val="864A04" w:themeColor="accent2" w:themeShade="80"/>
        </w:rPr>
      </w:pPr>
      <w:r>
        <w:rPr>
          <w:noProof/>
        </w:rPr>
        <w:drawing>
          <wp:inline distT="0" distB="0" distL="0" distR="0" wp14:anchorId="4A443534" wp14:editId="37163E2D">
            <wp:extent cx="6351270" cy="484505"/>
            <wp:effectExtent l="0" t="0" r="0" b="0"/>
            <wp:docPr id="50" name="Imagen 73">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3">
                      <a:extLst>
                        <a:ext uri="{FF2B5EF4-FFF2-40B4-BE49-F238E27FC236}">
                          <a16:creationId xmlns:a16="http://schemas.microsoft.com/office/drawing/2014/main" id="{00000000-0008-0000-0000-00004A000000}"/>
                        </a:ext>
                      </a:extLst>
                    </pic:cNvPr>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6351270" cy="484505"/>
                    </a:xfrm>
                    <a:prstGeom prst="rect">
                      <a:avLst/>
                    </a:prstGeom>
                    <a:noFill/>
                  </pic:spPr>
                </pic:pic>
              </a:graphicData>
            </a:graphic>
          </wp:inline>
        </w:drawing>
      </w:r>
    </w:p>
    <w:p w14:paraId="139AD870" w14:textId="36933271" w:rsidR="009627F2" w:rsidRDefault="009627F2" w:rsidP="009627F2">
      <w:pPr>
        <w:spacing w:before="0" w:after="0"/>
        <w:rPr>
          <w:rFonts w:eastAsia="Calibri" w:cs="Times New Roman"/>
          <w:b/>
          <w:sz w:val="22"/>
          <w:szCs w:val="22"/>
        </w:rPr>
      </w:pPr>
      <w:r>
        <w:rPr>
          <w:rFonts w:eastAsia="Calibri" w:cs="Times New Roman"/>
          <w:b/>
          <w:sz w:val="22"/>
          <w:szCs w:val="22"/>
        </w:rPr>
        <w:t>3</w:t>
      </w:r>
      <w:r w:rsidRPr="009C21A2">
        <w:rPr>
          <w:rFonts w:eastAsia="Calibri" w:cs="Times New Roman"/>
          <w:b/>
          <w:sz w:val="22"/>
          <w:szCs w:val="22"/>
        </w:rPr>
        <w:t xml:space="preserve">.- </w:t>
      </w:r>
      <w:r>
        <w:rPr>
          <w:rFonts w:eastAsia="Calibri" w:cs="Times New Roman"/>
          <w:b/>
          <w:sz w:val="22"/>
          <w:szCs w:val="22"/>
        </w:rPr>
        <w:t>PASIVOS DIFERIDOS.</w:t>
      </w:r>
    </w:p>
    <w:p w14:paraId="2488AC15" w14:textId="440E4038" w:rsidR="009627F2" w:rsidRDefault="009627F2" w:rsidP="009627F2">
      <w:pPr>
        <w:spacing w:before="0" w:after="0"/>
        <w:rPr>
          <w:rFonts w:eastAsia="Calibri" w:cs="Times New Roman"/>
          <w:b/>
          <w:sz w:val="22"/>
          <w:szCs w:val="22"/>
        </w:rPr>
      </w:pPr>
      <w:r>
        <w:rPr>
          <w:rFonts w:eastAsia="Calibri" w:cs="Times New Roman"/>
          <w:b/>
          <w:sz w:val="22"/>
          <w:szCs w:val="22"/>
        </w:rPr>
        <w:t>El Gobierno del Estado de Michoacán no cuenta con pasivos diferidos</w:t>
      </w:r>
    </w:p>
    <w:p w14:paraId="5C466F51" w14:textId="77777777" w:rsidR="00450813" w:rsidRDefault="00450813" w:rsidP="009627F2">
      <w:pPr>
        <w:spacing w:before="0" w:after="0"/>
        <w:rPr>
          <w:rFonts w:eastAsia="Calibri" w:cs="Times New Roman"/>
          <w:b/>
          <w:sz w:val="22"/>
          <w:szCs w:val="22"/>
        </w:rPr>
      </w:pPr>
    </w:p>
    <w:p w14:paraId="71C27830" w14:textId="173EB8DB" w:rsidR="009627F2" w:rsidRDefault="009627F2" w:rsidP="009627F2">
      <w:pPr>
        <w:spacing w:before="0" w:after="0"/>
        <w:rPr>
          <w:rFonts w:eastAsia="Calibri" w:cs="Times New Roman"/>
          <w:b/>
          <w:sz w:val="22"/>
          <w:szCs w:val="22"/>
        </w:rPr>
      </w:pPr>
      <w:r>
        <w:rPr>
          <w:rFonts w:eastAsia="Calibri" w:cs="Times New Roman"/>
          <w:b/>
          <w:sz w:val="22"/>
          <w:szCs w:val="22"/>
        </w:rPr>
        <w:t>4</w:t>
      </w:r>
      <w:r w:rsidRPr="009C21A2">
        <w:rPr>
          <w:rFonts w:eastAsia="Calibri" w:cs="Times New Roman"/>
          <w:b/>
          <w:sz w:val="22"/>
          <w:szCs w:val="22"/>
        </w:rPr>
        <w:t xml:space="preserve">.- </w:t>
      </w:r>
      <w:r>
        <w:rPr>
          <w:rFonts w:eastAsia="Calibri" w:cs="Times New Roman"/>
          <w:b/>
          <w:sz w:val="22"/>
          <w:szCs w:val="22"/>
        </w:rPr>
        <w:t>PROVISIONES</w:t>
      </w:r>
    </w:p>
    <w:p w14:paraId="4740EE13" w14:textId="457AB039" w:rsidR="009627F2" w:rsidRDefault="009627F2" w:rsidP="009627F2">
      <w:pPr>
        <w:spacing w:before="0" w:after="0"/>
        <w:rPr>
          <w:rFonts w:eastAsia="Calibri" w:cs="Times New Roman"/>
          <w:b/>
          <w:sz w:val="22"/>
          <w:szCs w:val="22"/>
        </w:rPr>
      </w:pPr>
      <w:r>
        <w:rPr>
          <w:rFonts w:eastAsia="Calibri" w:cs="Times New Roman"/>
          <w:b/>
          <w:sz w:val="22"/>
          <w:szCs w:val="22"/>
        </w:rPr>
        <w:t>El Gobierno del Estado de Michoacán no ha creado provisiones</w:t>
      </w:r>
    </w:p>
    <w:p w14:paraId="0EC75DB1" w14:textId="116200C2" w:rsidR="009627F2" w:rsidRDefault="009627F2" w:rsidP="009627F2">
      <w:pPr>
        <w:spacing w:before="0" w:after="0"/>
        <w:rPr>
          <w:rFonts w:eastAsia="Calibri" w:cs="Times New Roman"/>
          <w:b/>
          <w:sz w:val="22"/>
          <w:szCs w:val="22"/>
        </w:rPr>
      </w:pPr>
    </w:p>
    <w:p w14:paraId="2BE17B13" w14:textId="58732485" w:rsidR="009627F2" w:rsidRDefault="009627F2" w:rsidP="009627F2">
      <w:pPr>
        <w:spacing w:before="0" w:after="0"/>
        <w:rPr>
          <w:rFonts w:eastAsia="Calibri" w:cs="Times New Roman"/>
          <w:b/>
          <w:sz w:val="22"/>
          <w:szCs w:val="22"/>
        </w:rPr>
      </w:pPr>
      <w:r>
        <w:rPr>
          <w:rFonts w:eastAsia="Calibri" w:cs="Times New Roman"/>
          <w:b/>
          <w:sz w:val="22"/>
          <w:szCs w:val="22"/>
        </w:rPr>
        <w:t>5</w:t>
      </w:r>
      <w:r w:rsidRPr="009C21A2">
        <w:rPr>
          <w:rFonts w:eastAsia="Calibri" w:cs="Times New Roman"/>
          <w:b/>
          <w:sz w:val="22"/>
          <w:szCs w:val="22"/>
        </w:rPr>
        <w:t xml:space="preserve">.- </w:t>
      </w:r>
      <w:r>
        <w:rPr>
          <w:rFonts w:eastAsia="Calibri" w:cs="Times New Roman"/>
          <w:b/>
          <w:sz w:val="22"/>
          <w:szCs w:val="22"/>
        </w:rPr>
        <w:t>OTROS PASIVOS</w:t>
      </w:r>
    </w:p>
    <w:p w14:paraId="3CB63D10" w14:textId="3B73368A" w:rsidR="009627F2" w:rsidRPr="009C21A2" w:rsidRDefault="009627F2" w:rsidP="009627F2">
      <w:pPr>
        <w:spacing w:before="0" w:after="0"/>
        <w:rPr>
          <w:rFonts w:eastAsia="Calibri" w:cs="Times New Roman"/>
          <w:b/>
          <w:sz w:val="22"/>
          <w:szCs w:val="22"/>
        </w:rPr>
      </w:pPr>
      <w:r>
        <w:rPr>
          <w:rFonts w:eastAsia="Calibri" w:cs="Times New Roman"/>
          <w:b/>
          <w:sz w:val="22"/>
          <w:szCs w:val="22"/>
        </w:rPr>
        <w:t>El Gobierno del Estado de Michoacán no cuenta con pasivos diferentes a los ya descritos</w:t>
      </w:r>
    </w:p>
    <w:p w14:paraId="77C3C174" w14:textId="77777777" w:rsidR="009627F2" w:rsidRPr="009C21A2" w:rsidRDefault="009627F2" w:rsidP="009627F2">
      <w:pPr>
        <w:spacing w:before="0" w:after="0"/>
        <w:rPr>
          <w:rFonts w:eastAsia="Calibri" w:cs="Times New Roman"/>
          <w:b/>
          <w:sz w:val="22"/>
          <w:szCs w:val="22"/>
        </w:rPr>
      </w:pPr>
    </w:p>
    <w:p w14:paraId="44BC74B6" w14:textId="77777777" w:rsidR="009627F2" w:rsidRDefault="009627F2" w:rsidP="00B82D70">
      <w:pPr>
        <w:jc w:val="center"/>
        <w:rPr>
          <w:color w:val="864A04" w:themeColor="accent2" w:themeShade="80"/>
        </w:rPr>
      </w:pPr>
    </w:p>
    <w:p w14:paraId="13B6E2D2" w14:textId="77777777" w:rsidR="00401D23" w:rsidRDefault="00401D23" w:rsidP="00B82D70">
      <w:pPr>
        <w:jc w:val="center"/>
        <w:rPr>
          <w:color w:val="864A04" w:themeColor="accent2" w:themeShade="80"/>
        </w:rPr>
      </w:pPr>
    </w:p>
    <w:p w14:paraId="29A6D83C" w14:textId="77777777" w:rsidR="00401D23" w:rsidRDefault="00401D23" w:rsidP="00B82D70">
      <w:pPr>
        <w:jc w:val="center"/>
        <w:rPr>
          <w:color w:val="864A04" w:themeColor="accent2" w:themeShade="80"/>
        </w:rPr>
      </w:pPr>
    </w:p>
    <w:p w14:paraId="360099B8" w14:textId="77777777" w:rsidR="00401D23" w:rsidRDefault="00401D23" w:rsidP="00B82D70">
      <w:pPr>
        <w:jc w:val="center"/>
        <w:rPr>
          <w:color w:val="864A04" w:themeColor="accent2" w:themeShade="80"/>
        </w:rPr>
      </w:pPr>
    </w:p>
    <w:p w14:paraId="77B8AECB" w14:textId="77777777" w:rsidR="00401D23" w:rsidRDefault="00401D23" w:rsidP="00B82D70">
      <w:pPr>
        <w:jc w:val="center"/>
        <w:rPr>
          <w:color w:val="864A04" w:themeColor="accent2" w:themeShade="80"/>
        </w:rPr>
      </w:pPr>
    </w:p>
    <w:p w14:paraId="14922CFF" w14:textId="77777777" w:rsidR="00401D23" w:rsidRDefault="00401D23" w:rsidP="00B82D70">
      <w:pPr>
        <w:jc w:val="center"/>
        <w:rPr>
          <w:color w:val="864A04" w:themeColor="accent2" w:themeShade="80"/>
        </w:rPr>
      </w:pPr>
    </w:p>
    <w:p w14:paraId="194B5BBD" w14:textId="2FA26828" w:rsidR="00B82D70" w:rsidRPr="001075F6" w:rsidRDefault="00C33AB2" w:rsidP="001075F6">
      <w:pPr>
        <w:spacing w:before="0" w:after="0"/>
        <w:jc w:val="left"/>
        <w:rPr>
          <w:rFonts w:eastAsia="Calibri" w:cs="Times New Roman"/>
          <w:b/>
          <w:szCs w:val="36"/>
        </w:rPr>
      </w:pPr>
      <w:r w:rsidRPr="006A0403">
        <w:rPr>
          <w:rFonts w:eastAsia="Calibri" w:cs="Times New Roman"/>
          <w:b/>
          <w:szCs w:val="36"/>
        </w:rPr>
        <w:lastRenderedPageBreak/>
        <w:t xml:space="preserve">III). </w:t>
      </w:r>
      <w:r w:rsidR="00B82D70" w:rsidRPr="006A0403">
        <w:rPr>
          <w:rFonts w:eastAsia="Calibri" w:cs="Times New Roman"/>
          <w:b/>
          <w:szCs w:val="36"/>
        </w:rPr>
        <w:t>NOTAS AL ESTADO DE VARIACIÓN DE LA HACIENDA PÚBLICA</w:t>
      </w:r>
    </w:p>
    <w:p w14:paraId="7B0B2F95" w14:textId="77777777" w:rsidR="00B82D70" w:rsidRPr="005863FC" w:rsidRDefault="00B82D70" w:rsidP="00B82D70">
      <w:pPr>
        <w:widowControl w:val="0"/>
        <w:spacing w:before="0" w:after="0"/>
        <w:jc w:val="left"/>
        <w:rPr>
          <w:rFonts w:eastAsia="Times New Roman" w:cs="Times New Roman"/>
          <w:b/>
          <w:color w:val="000000"/>
          <w:sz w:val="22"/>
          <w:szCs w:val="22"/>
          <w:lang w:eastAsia="es-MX"/>
        </w:rPr>
      </w:pPr>
      <w:r w:rsidRPr="005863FC">
        <w:rPr>
          <w:rFonts w:eastAsia="Times New Roman" w:cs="Times New Roman"/>
          <w:b/>
          <w:color w:val="000000"/>
          <w:sz w:val="22"/>
          <w:szCs w:val="22"/>
          <w:lang w:eastAsia="es-MX"/>
        </w:rPr>
        <w:t>HACIENDA PÚBLICA/PATRIMONIO</w:t>
      </w:r>
    </w:p>
    <w:p w14:paraId="772D63BB" w14:textId="77777777" w:rsidR="00B82D70" w:rsidRPr="009E0D2E" w:rsidRDefault="00B82D70" w:rsidP="00B82D70">
      <w:pPr>
        <w:widowControl w:val="0"/>
        <w:kinsoku w:val="0"/>
        <w:spacing w:before="0" w:after="0"/>
        <w:ind w:left="426"/>
        <w:contextualSpacing/>
        <w:rPr>
          <w:rFonts w:eastAsia="Calibri" w:cs="Times New Roman"/>
          <w:b/>
          <w:sz w:val="22"/>
          <w:szCs w:val="22"/>
        </w:rPr>
      </w:pPr>
      <w:r w:rsidRPr="009E0D2E">
        <w:rPr>
          <w:rFonts w:eastAsia="Times New Roman" w:cs="Times New Roman"/>
          <w:color w:val="000000"/>
          <w:sz w:val="22"/>
          <w:szCs w:val="22"/>
          <w:lang w:eastAsia="es-MX"/>
        </w:rPr>
        <w:t>Representa la diferencia entre el activo y el pasivo del ente público. Incluye el resultado de la gestión de ejercicios anteriores.</w:t>
      </w:r>
    </w:p>
    <w:p w14:paraId="01FE74CF" w14:textId="77777777" w:rsidR="00B82D70" w:rsidRPr="005863FC" w:rsidRDefault="00B82D70" w:rsidP="00B82D70">
      <w:pPr>
        <w:spacing w:before="0" w:after="0"/>
        <w:ind w:left="426"/>
        <w:rPr>
          <w:rFonts w:eastAsia="Calibri" w:cs="Times New Roman"/>
          <w:b/>
          <w:sz w:val="22"/>
          <w:szCs w:val="22"/>
        </w:rPr>
      </w:pPr>
      <w:r w:rsidRPr="005863FC">
        <w:rPr>
          <w:rFonts w:eastAsia="Calibri" w:cs="Times New Roman"/>
          <w:b/>
          <w:sz w:val="22"/>
          <w:szCs w:val="22"/>
        </w:rPr>
        <w:t xml:space="preserve">    1. Patrimonio Estatal/Patrimonio Contribuido</w:t>
      </w:r>
    </w:p>
    <w:p w14:paraId="19D3E84B" w14:textId="77777777" w:rsidR="00B82D70" w:rsidRPr="005863FC" w:rsidRDefault="00B82D70" w:rsidP="00B82D70">
      <w:pPr>
        <w:widowControl w:val="0"/>
        <w:kinsoku w:val="0"/>
        <w:spacing w:before="0" w:after="0"/>
        <w:ind w:left="709"/>
        <w:contextualSpacing/>
        <w:rPr>
          <w:rFonts w:eastAsia="Times New Roman" w:cs="Times New Roman"/>
          <w:color w:val="000000"/>
          <w:sz w:val="22"/>
          <w:szCs w:val="22"/>
          <w:lang w:eastAsia="es-MX"/>
        </w:rPr>
      </w:pPr>
      <w:r w:rsidRPr="005863FC">
        <w:rPr>
          <w:rFonts w:eastAsia="Times New Roman" w:cs="Times New Roman"/>
          <w:color w:val="000000"/>
          <w:sz w:val="22"/>
          <w:szCs w:val="22"/>
          <w:lang w:eastAsia="es-MX"/>
        </w:rPr>
        <w:t xml:space="preserve">Representa las </w:t>
      </w:r>
      <w:r w:rsidRPr="005863FC">
        <w:rPr>
          <w:rFonts w:eastAsia="Times New Roman" w:cs="Times New Roman"/>
          <w:sz w:val="22"/>
          <w:szCs w:val="22"/>
          <w:lang w:eastAsia="es-MX"/>
        </w:rPr>
        <w:t xml:space="preserve">aportaciones, con fines permanentes, del </w:t>
      </w:r>
      <w:r w:rsidRPr="005863FC">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w:t>
      </w:r>
      <w:r>
        <w:rPr>
          <w:rFonts w:eastAsia="Times New Roman" w:cs="Times New Roman"/>
          <w:color w:val="000000"/>
          <w:sz w:val="22"/>
          <w:szCs w:val="22"/>
          <w:lang w:eastAsia="es-MX"/>
        </w:rPr>
        <w:t>onsejo Nacional de Armonización Contable.</w:t>
      </w:r>
    </w:p>
    <w:p w14:paraId="71833679" w14:textId="77777777" w:rsidR="00B82D70" w:rsidRPr="005863FC" w:rsidRDefault="00B82D70" w:rsidP="00B82D70">
      <w:pPr>
        <w:widowControl w:val="0"/>
        <w:kinsoku w:val="0"/>
        <w:spacing w:before="0" w:after="0"/>
        <w:ind w:left="709"/>
        <w:contextualSpacing/>
        <w:rPr>
          <w:rFonts w:eastAsia="Times New Roman" w:cs="Times New Roman"/>
          <w:color w:val="000000"/>
          <w:sz w:val="22"/>
          <w:szCs w:val="22"/>
          <w:lang w:eastAsia="es-MX"/>
        </w:rPr>
      </w:pPr>
    </w:p>
    <w:p w14:paraId="51CDBDC3" w14:textId="78A26D95" w:rsidR="00B82D70" w:rsidRDefault="00B82D70" w:rsidP="006A0403">
      <w:pPr>
        <w:widowControl w:val="0"/>
        <w:kinsoku w:val="0"/>
        <w:spacing w:before="0" w:after="0"/>
        <w:ind w:left="709"/>
        <w:contextualSpacing/>
        <w:rPr>
          <w:rFonts w:eastAsia="Times New Roman" w:cs="Times New Roman"/>
          <w:color w:val="000000"/>
          <w:sz w:val="22"/>
          <w:szCs w:val="22"/>
          <w:lang w:eastAsia="es-MX"/>
        </w:rPr>
      </w:pPr>
      <w:r>
        <w:rPr>
          <w:rFonts w:eastAsia="Times New Roman" w:cs="Times New Roman"/>
          <w:color w:val="000000"/>
          <w:sz w:val="22"/>
          <w:szCs w:val="22"/>
          <w:lang w:eastAsia="es-MX"/>
        </w:rPr>
        <w:t>Al 3</w:t>
      </w:r>
      <w:r w:rsidR="005E6DA7">
        <w:rPr>
          <w:rFonts w:eastAsia="Times New Roman" w:cs="Times New Roman"/>
          <w:color w:val="000000"/>
          <w:sz w:val="22"/>
          <w:szCs w:val="22"/>
          <w:lang w:eastAsia="es-MX"/>
        </w:rPr>
        <w:t>1</w:t>
      </w:r>
      <w:r w:rsidRPr="005863FC">
        <w:rPr>
          <w:rFonts w:eastAsia="Times New Roman" w:cs="Times New Roman"/>
          <w:color w:val="000000"/>
          <w:sz w:val="22"/>
          <w:szCs w:val="22"/>
          <w:lang w:eastAsia="es-MX"/>
        </w:rPr>
        <w:t xml:space="preserve"> de </w:t>
      </w:r>
      <w:r w:rsidR="005E6DA7">
        <w:rPr>
          <w:rFonts w:eastAsia="Times New Roman" w:cs="Times New Roman"/>
          <w:color w:val="000000"/>
          <w:sz w:val="22"/>
          <w:szCs w:val="22"/>
          <w:lang w:eastAsia="es-MX"/>
        </w:rPr>
        <w:t>diciembre</w:t>
      </w:r>
      <w:r w:rsidR="0003700F">
        <w:rPr>
          <w:rFonts w:eastAsia="Times New Roman" w:cs="Times New Roman"/>
          <w:color w:val="000000"/>
          <w:sz w:val="22"/>
          <w:szCs w:val="22"/>
          <w:lang w:eastAsia="es-MX"/>
        </w:rPr>
        <w:t xml:space="preserve"> </w:t>
      </w:r>
      <w:r w:rsidRPr="005863FC">
        <w:rPr>
          <w:rFonts w:eastAsia="Times New Roman" w:cs="Times New Roman"/>
          <w:color w:val="000000"/>
          <w:sz w:val="22"/>
          <w:szCs w:val="22"/>
          <w:lang w:eastAsia="es-MX"/>
        </w:rPr>
        <w:t>de 202</w:t>
      </w:r>
      <w:r w:rsidR="006D7C47">
        <w:rPr>
          <w:rFonts w:eastAsia="Times New Roman" w:cs="Times New Roman"/>
          <w:color w:val="000000"/>
          <w:sz w:val="22"/>
          <w:szCs w:val="22"/>
          <w:lang w:eastAsia="es-MX"/>
        </w:rPr>
        <w:t>2</w:t>
      </w:r>
      <w:r w:rsidRPr="005863FC">
        <w:rPr>
          <w:rFonts w:eastAsia="Times New Roman" w:cs="Times New Roman"/>
          <w:color w:val="000000"/>
          <w:sz w:val="22"/>
          <w:szCs w:val="22"/>
          <w:lang w:eastAsia="es-MX"/>
        </w:rPr>
        <w:t xml:space="preserve">, presenta un </w:t>
      </w:r>
      <w:r w:rsidRPr="0003700F">
        <w:rPr>
          <w:rFonts w:eastAsia="Times New Roman" w:cs="Times New Roman"/>
          <w:color w:val="000000"/>
          <w:sz w:val="22"/>
          <w:szCs w:val="22"/>
          <w:lang w:eastAsia="es-MX"/>
        </w:rPr>
        <w:t xml:space="preserve">saldo de </w:t>
      </w:r>
      <w:r w:rsidR="000F24EE">
        <w:rPr>
          <w:rFonts w:eastAsia="Times New Roman" w:cs="Times New Roman"/>
          <w:color w:val="000000"/>
          <w:sz w:val="22"/>
          <w:szCs w:val="22"/>
          <w:lang w:eastAsia="es-MX"/>
        </w:rPr>
        <w:t>3</w:t>
      </w:r>
      <w:r w:rsidR="00450813">
        <w:rPr>
          <w:rFonts w:eastAsia="Times New Roman" w:cs="Times New Roman"/>
          <w:color w:val="000000"/>
          <w:sz w:val="22"/>
          <w:szCs w:val="22"/>
          <w:lang w:eastAsia="es-MX"/>
        </w:rPr>
        <w:t>6</w:t>
      </w:r>
      <w:r w:rsidRPr="0003700F">
        <w:rPr>
          <w:rFonts w:eastAsia="Times New Roman" w:cs="Times New Roman"/>
          <w:color w:val="000000"/>
          <w:sz w:val="22"/>
          <w:szCs w:val="22"/>
          <w:lang w:eastAsia="es-MX"/>
        </w:rPr>
        <w:t xml:space="preserve"> mil</w:t>
      </w:r>
      <w:r w:rsidR="006D7C47">
        <w:rPr>
          <w:rFonts w:eastAsia="Times New Roman" w:cs="Times New Roman"/>
          <w:color w:val="000000"/>
          <w:sz w:val="22"/>
          <w:szCs w:val="22"/>
          <w:lang w:eastAsia="es-MX"/>
        </w:rPr>
        <w:t xml:space="preserve"> </w:t>
      </w:r>
      <w:r w:rsidR="00450813">
        <w:rPr>
          <w:rFonts w:eastAsia="Times New Roman" w:cs="Times New Roman"/>
          <w:color w:val="000000"/>
          <w:sz w:val="22"/>
          <w:szCs w:val="22"/>
          <w:lang w:eastAsia="es-MX"/>
        </w:rPr>
        <w:t>872</w:t>
      </w:r>
      <w:r w:rsidRPr="0003700F">
        <w:rPr>
          <w:rFonts w:eastAsia="Times New Roman" w:cs="Times New Roman"/>
          <w:color w:val="000000"/>
          <w:sz w:val="22"/>
          <w:szCs w:val="22"/>
          <w:lang w:eastAsia="es-MX"/>
        </w:rPr>
        <w:t xml:space="preserve"> millones </w:t>
      </w:r>
      <w:r w:rsidR="005E6DA7">
        <w:rPr>
          <w:rFonts w:eastAsia="Times New Roman" w:cs="Times New Roman"/>
          <w:color w:val="000000"/>
          <w:sz w:val="22"/>
          <w:szCs w:val="22"/>
          <w:lang w:eastAsia="es-MX"/>
        </w:rPr>
        <w:t>6</w:t>
      </w:r>
      <w:r w:rsidR="00450813">
        <w:rPr>
          <w:rFonts w:eastAsia="Times New Roman" w:cs="Times New Roman"/>
          <w:color w:val="000000"/>
          <w:sz w:val="22"/>
          <w:szCs w:val="22"/>
          <w:lang w:eastAsia="es-MX"/>
        </w:rPr>
        <w:t>08</w:t>
      </w:r>
      <w:r w:rsidRPr="0003700F">
        <w:rPr>
          <w:rFonts w:eastAsia="Times New Roman" w:cs="Times New Roman"/>
          <w:color w:val="000000"/>
          <w:sz w:val="22"/>
          <w:szCs w:val="22"/>
          <w:lang w:eastAsia="es-MX"/>
        </w:rPr>
        <w:t xml:space="preserve"> </w:t>
      </w:r>
      <w:r w:rsidR="0003700F" w:rsidRPr="0003700F">
        <w:rPr>
          <w:rFonts w:eastAsia="Times New Roman" w:cs="Times New Roman"/>
          <w:color w:val="000000"/>
          <w:sz w:val="22"/>
          <w:szCs w:val="22"/>
          <w:lang w:eastAsia="es-MX"/>
        </w:rPr>
        <w:t xml:space="preserve">mil </w:t>
      </w:r>
      <w:r w:rsidR="00450813">
        <w:rPr>
          <w:rFonts w:eastAsia="Times New Roman" w:cs="Times New Roman"/>
          <w:color w:val="000000"/>
          <w:sz w:val="22"/>
          <w:szCs w:val="22"/>
          <w:lang w:eastAsia="es-MX"/>
        </w:rPr>
        <w:t>225</w:t>
      </w:r>
      <w:r w:rsidRPr="0003700F">
        <w:rPr>
          <w:rFonts w:eastAsia="Times New Roman" w:cs="Times New Roman"/>
          <w:color w:val="000000"/>
          <w:sz w:val="22"/>
          <w:szCs w:val="22"/>
          <w:lang w:eastAsia="es-MX"/>
        </w:rPr>
        <w:t xml:space="preserve"> pesos</w:t>
      </w:r>
      <w:r w:rsidR="005E0451">
        <w:rPr>
          <w:rFonts w:eastAsia="Times New Roman" w:cs="Times New Roman"/>
          <w:color w:val="000000"/>
          <w:sz w:val="22"/>
          <w:szCs w:val="22"/>
          <w:lang w:eastAsia="es-MX"/>
        </w:rPr>
        <w:t xml:space="preserve">, lo que representa un aumento del </w:t>
      </w:r>
      <w:r w:rsidR="00450813">
        <w:rPr>
          <w:rFonts w:eastAsia="Times New Roman" w:cs="Times New Roman"/>
          <w:color w:val="000000"/>
          <w:sz w:val="22"/>
          <w:szCs w:val="22"/>
          <w:lang w:eastAsia="es-MX"/>
        </w:rPr>
        <w:t>6.25</w:t>
      </w:r>
      <w:r w:rsidR="005E0451">
        <w:rPr>
          <w:rFonts w:eastAsia="Times New Roman" w:cs="Times New Roman"/>
          <w:color w:val="000000"/>
          <w:sz w:val="22"/>
          <w:szCs w:val="22"/>
          <w:lang w:eastAsia="es-MX"/>
        </w:rPr>
        <w:t xml:space="preserve">% respecto del </w:t>
      </w:r>
      <w:r w:rsidR="00401D23">
        <w:rPr>
          <w:rFonts w:eastAsia="Times New Roman" w:cs="Times New Roman"/>
          <w:color w:val="000000"/>
          <w:sz w:val="22"/>
          <w:szCs w:val="22"/>
          <w:lang w:eastAsia="es-MX"/>
        </w:rPr>
        <w:t>ejercicio</w:t>
      </w:r>
      <w:r w:rsidR="005E0451">
        <w:rPr>
          <w:rFonts w:eastAsia="Times New Roman" w:cs="Times New Roman"/>
          <w:color w:val="000000"/>
          <w:sz w:val="22"/>
          <w:szCs w:val="22"/>
          <w:lang w:eastAsia="es-MX"/>
        </w:rPr>
        <w:t xml:space="preserve"> anterior</w:t>
      </w:r>
      <w:r w:rsidR="00C0303A">
        <w:rPr>
          <w:rFonts w:eastAsia="Times New Roman" w:cs="Times New Roman"/>
          <w:color w:val="000000"/>
          <w:sz w:val="22"/>
          <w:szCs w:val="22"/>
          <w:lang w:eastAsia="es-MX"/>
        </w:rPr>
        <w:t>.</w:t>
      </w:r>
    </w:p>
    <w:p w14:paraId="5A0B556F" w14:textId="392BD8CF" w:rsidR="00B82D70" w:rsidRPr="00C0303A" w:rsidRDefault="00450813" w:rsidP="00C0303A">
      <w:pPr>
        <w:widowControl w:val="0"/>
        <w:kinsoku w:val="0"/>
        <w:spacing w:before="120" w:after="120"/>
        <w:ind w:left="142"/>
        <w:contextualSpacing/>
        <w:jc w:val="center"/>
        <w:rPr>
          <w:rFonts w:eastAsia="Calibri" w:cs="Times New Roman"/>
        </w:rPr>
      </w:pPr>
      <w:r w:rsidRPr="00450813">
        <w:rPr>
          <w:noProof/>
        </w:rPr>
        <w:drawing>
          <wp:inline distT="0" distB="0" distL="0" distR="0" wp14:anchorId="379F6041" wp14:editId="5DFF3BB4">
            <wp:extent cx="6351270" cy="788670"/>
            <wp:effectExtent l="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6351270" cy="788670"/>
                    </a:xfrm>
                    <a:prstGeom prst="rect">
                      <a:avLst/>
                    </a:prstGeom>
                    <a:noFill/>
                    <a:ln>
                      <a:noFill/>
                    </a:ln>
                  </pic:spPr>
                </pic:pic>
              </a:graphicData>
            </a:graphic>
          </wp:inline>
        </w:drawing>
      </w:r>
    </w:p>
    <w:p w14:paraId="7FD967CD" w14:textId="77777777" w:rsidR="00C0303A" w:rsidRDefault="00C0303A" w:rsidP="00B82D70">
      <w:pPr>
        <w:spacing w:before="0" w:after="0"/>
        <w:ind w:left="425"/>
        <w:rPr>
          <w:rFonts w:eastAsia="Calibri" w:cs="Times New Roman"/>
          <w:sz w:val="22"/>
          <w:szCs w:val="22"/>
        </w:rPr>
      </w:pPr>
    </w:p>
    <w:p w14:paraId="52701391" w14:textId="76C24BBF" w:rsidR="00B82D70" w:rsidRPr="009E0D2E" w:rsidRDefault="00B82D70" w:rsidP="00B82D70">
      <w:pPr>
        <w:spacing w:before="0" w:after="0"/>
        <w:ind w:left="425"/>
        <w:rPr>
          <w:rFonts w:eastAsia="Calibri" w:cs="Times New Roman"/>
          <w:sz w:val="22"/>
          <w:szCs w:val="22"/>
        </w:rPr>
      </w:pPr>
      <w:r w:rsidRPr="009E0D2E">
        <w:rPr>
          <w:rFonts w:eastAsia="Calibri" w:cs="Times New Roman"/>
          <w:sz w:val="22"/>
          <w:szCs w:val="22"/>
        </w:rPr>
        <w:t xml:space="preserve">Dentro del rubro de Patrimonio Estatal/Patrimonio contribuido, se destaca </w:t>
      </w:r>
      <w:r w:rsidR="00570A02">
        <w:rPr>
          <w:rFonts w:eastAsia="Calibri" w:cs="Times New Roman"/>
          <w:sz w:val="22"/>
          <w:szCs w:val="22"/>
        </w:rPr>
        <w:t>l</w:t>
      </w:r>
      <w:r w:rsidRPr="009E0D2E">
        <w:rPr>
          <w:rFonts w:eastAsia="Calibri" w:cs="Times New Roman"/>
          <w:sz w:val="22"/>
          <w:szCs w:val="22"/>
        </w:rPr>
        <w:t xml:space="preserve">a actualización realizada de la participación del Poder Ejecutivo en el Patrimonio de las Entidades Paraestatales, </w:t>
      </w:r>
      <w:r w:rsidR="00570A02">
        <w:rPr>
          <w:rFonts w:eastAsia="Calibri" w:cs="Times New Roman"/>
          <w:sz w:val="22"/>
          <w:szCs w:val="22"/>
        </w:rPr>
        <w:t xml:space="preserve">el cual </w:t>
      </w:r>
      <w:r w:rsidRPr="009E0D2E">
        <w:rPr>
          <w:rFonts w:eastAsia="Calibri" w:cs="Times New Roman"/>
          <w:sz w:val="22"/>
          <w:szCs w:val="22"/>
        </w:rPr>
        <w:t xml:space="preserve">se detalla en el punto </w:t>
      </w:r>
      <w:r w:rsidR="00CC7C0A">
        <w:rPr>
          <w:rFonts w:eastAsia="Calibri" w:cs="Times New Roman"/>
          <w:sz w:val="22"/>
          <w:szCs w:val="22"/>
        </w:rPr>
        <w:t>5</w:t>
      </w:r>
      <w:r w:rsidRPr="009E0D2E">
        <w:rPr>
          <w:rFonts w:eastAsia="Calibri" w:cs="Times New Roman"/>
          <w:sz w:val="22"/>
          <w:szCs w:val="22"/>
        </w:rPr>
        <w:t xml:space="preserve"> de las notas de desglose.  </w:t>
      </w:r>
    </w:p>
    <w:p w14:paraId="499DD184" w14:textId="77777777" w:rsidR="00A07777" w:rsidRDefault="00A07777" w:rsidP="00456403">
      <w:pPr>
        <w:spacing w:before="0" w:after="0"/>
        <w:rPr>
          <w:rFonts w:eastAsia="Calibri" w:cs="Times New Roman"/>
          <w:b/>
          <w:sz w:val="22"/>
          <w:szCs w:val="22"/>
        </w:rPr>
      </w:pPr>
    </w:p>
    <w:p w14:paraId="3C275A37" w14:textId="77777777" w:rsidR="00B82D70" w:rsidRDefault="00B82D70" w:rsidP="00B82D70">
      <w:pPr>
        <w:spacing w:before="0" w:after="0"/>
        <w:ind w:left="425"/>
        <w:rPr>
          <w:rFonts w:eastAsia="Calibri" w:cs="Times New Roman"/>
          <w:b/>
          <w:sz w:val="22"/>
          <w:szCs w:val="22"/>
        </w:rPr>
      </w:pPr>
      <w:r w:rsidRPr="009E0D2E">
        <w:rPr>
          <w:rFonts w:eastAsia="Calibri" w:cs="Times New Roman"/>
          <w:b/>
          <w:sz w:val="22"/>
          <w:szCs w:val="22"/>
        </w:rPr>
        <w:t>2. Patrimonio Estatal/Patrimonio Generado</w:t>
      </w:r>
    </w:p>
    <w:p w14:paraId="6813D747" w14:textId="7D27FE84" w:rsidR="00C0303A" w:rsidRDefault="00B82D70" w:rsidP="000F24EE">
      <w:pPr>
        <w:widowControl w:val="0"/>
        <w:kinsoku w:val="0"/>
        <w:spacing w:before="0" w:after="0"/>
        <w:ind w:left="425"/>
        <w:contextualSpacing/>
        <w:rPr>
          <w:rFonts w:eastAsia="Calibri" w:cs="Times New Roman"/>
          <w:color w:val="000000"/>
          <w:sz w:val="22"/>
          <w:szCs w:val="22"/>
        </w:rPr>
      </w:pPr>
      <w:r w:rsidRPr="009E0D2E">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w:t>
      </w:r>
      <w:r w:rsidR="000F24EE">
        <w:rPr>
          <w:rFonts w:eastAsia="Calibri" w:cs="Times New Roman"/>
          <w:color w:val="000000"/>
          <w:sz w:val="22"/>
          <w:szCs w:val="22"/>
        </w:rPr>
        <w:t xml:space="preserve"> de ejercicios anteriores</w:t>
      </w:r>
      <w:r w:rsidRPr="009E0D2E">
        <w:rPr>
          <w:rFonts w:eastAsia="Calibri" w:cs="Times New Roman"/>
          <w:color w:val="000000"/>
          <w:sz w:val="22"/>
          <w:szCs w:val="22"/>
        </w:rPr>
        <w:t xml:space="preserve"> que le afectan de acuerdo con los lineamientos emitidos por el </w:t>
      </w:r>
      <w:r w:rsidRPr="002263AB">
        <w:rPr>
          <w:rFonts w:eastAsia="Calibri" w:cs="Times New Roman"/>
          <w:color w:val="000000"/>
          <w:sz w:val="22"/>
          <w:szCs w:val="22"/>
        </w:rPr>
        <w:t>Consejo Nacional de Armonización Contable.</w:t>
      </w:r>
    </w:p>
    <w:p w14:paraId="38F10E24" w14:textId="4BE03DA9" w:rsidR="00B82D70" w:rsidRDefault="00401D23" w:rsidP="00401D23">
      <w:pPr>
        <w:widowControl w:val="0"/>
        <w:kinsoku w:val="0"/>
        <w:spacing w:before="0" w:after="0"/>
        <w:ind w:left="425"/>
        <w:contextualSpacing/>
        <w:rPr>
          <w:rFonts w:eastAsia="Calibri" w:cs="Times New Roman"/>
          <w:color w:val="000000"/>
          <w:sz w:val="22"/>
          <w:szCs w:val="22"/>
        </w:rPr>
      </w:pPr>
      <w:r w:rsidRPr="00401D23">
        <w:rPr>
          <w:noProof/>
        </w:rPr>
        <w:lastRenderedPageBreak/>
        <w:drawing>
          <wp:inline distT="0" distB="0" distL="0" distR="0" wp14:anchorId="7577AEBB" wp14:editId="6D7BC07A">
            <wp:extent cx="6351270" cy="1178560"/>
            <wp:effectExtent l="0" t="0" r="0" b="254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6351270" cy="1178560"/>
                    </a:xfrm>
                    <a:prstGeom prst="rect">
                      <a:avLst/>
                    </a:prstGeom>
                    <a:noFill/>
                    <a:ln>
                      <a:noFill/>
                    </a:ln>
                  </pic:spPr>
                </pic:pic>
              </a:graphicData>
            </a:graphic>
          </wp:inline>
        </w:drawing>
      </w:r>
    </w:p>
    <w:p w14:paraId="47C07631" w14:textId="77777777" w:rsidR="00401D23" w:rsidRDefault="00401D23" w:rsidP="00401D23">
      <w:pPr>
        <w:widowControl w:val="0"/>
        <w:kinsoku w:val="0"/>
        <w:spacing w:before="0" w:after="0"/>
        <w:ind w:left="425"/>
        <w:contextualSpacing/>
        <w:rPr>
          <w:rFonts w:eastAsia="Calibri" w:cs="Times New Roman"/>
          <w:color w:val="000000"/>
          <w:sz w:val="22"/>
          <w:szCs w:val="22"/>
        </w:rPr>
      </w:pPr>
    </w:p>
    <w:p w14:paraId="6601EF02" w14:textId="19DB7CE0" w:rsidR="00401D23" w:rsidRPr="00401D23" w:rsidRDefault="00401D23" w:rsidP="00401D23">
      <w:pPr>
        <w:widowControl w:val="0"/>
        <w:kinsoku w:val="0"/>
        <w:spacing w:before="0" w:after="0"/>
        <w:ind w:left="425"/>
        <w:contextualSpacing/>
        <w:rPr>
          <w:rFonts w:eastAsia="Calibri" w:cs="Times New Roman"/>
          <w:color w:val="000000"/>
          <w:sz w:val="22"/>
          <w:szCs w:val="22"/>
        </w:rPr>
      </w:pPr>
      <w:r>
        <w:rPr>
          <w:rFonts w:eastAsia="Calibri" w:cs="Times New Roman"/>
          <w:color w:val="000000"/>
          <w:sz w:val="22"/>
          <w:szCs w:val="22"/>
        </w:rPr>
        <w:t xml:space="preserve">Dentro de los rubros que integran este apartado se puede destacar la cuenta de </w:t>
      </w:r>
      <w:proofErr w:type="spellStart"/>
      <w:r>
        <w:rPr>
          <w:rFonts w:eastAsia="Calibri" w:cs="Times New Roman"/>
          <w:color w:val="000000"/>
          <w:sz w:val="22"/>
          <w:szCs w:val="22"/>
        </w:rPr>
        <w:t>Revalúos</w:t>
      </w:r>
      <w:proofErr w:type="spellEnd"/>
      <w:r>
        <w:rPr>
          <w:rFonts w:eastAsia="Calibri" w:cs="Times New Roman"/>
          <w:color w:val="000000"/>
          <w:sz w:val="22"/>
          <w:szCs w:val="22"/>
        </w:rPr>
        <w:t>, directamente relacionada con los trabajos de actualización del valor de los bienes inmuebles, por un monto de 6 mil 638 millones 211 mil 712 pesos.</w:t>
      </w:r>
    </w:p>
    <w:p w14:paraId="12B83AD8" w14:textId="77777777" w:rsidR="00B82D70" w:rsidRDefault="00B82D70" w:rsidP="00B82D70">
      <w:pPr>
        <w:spacing w:before="0" w:after="0"/>
        <w:rPr>
          <w:rFonts w:ascii="Arial" w:hAnsi="Arial" w:cs="Arial"/>
          <w:b/>
          <w:color w:val="000000"/>
          <w:sz w:val="22"/>
          <w:szCs w:val="22"/>
        </w:rPr>
      </w:pPr>
      <w:r w:rsidRPr="009E0D2E">
        <w:rPr>
          <w:rFonts w:eastAsia="Calibri" w:cs="Times New Roman"/>
          <w:b/>
          <w:sz w:val="22"/>
          <w:szCs w:val="22"/>
        </w:rPr>
        <w:t>Resultado del Ejercicio</w:t>
      </w:r>
      <w:r w:rsidRPr="009E0D2E">
        <w:rPr>
          <w:rFonts w:ascii="Arial" w:hAnsi="Arial" w:cs="Arial"/>
          <w:b/>
          <w:color w:val="000000"/>
          <w:sz w:val="22"/>
          <w:szCs w:val="22"/>
        </w:rPr>
        <w:t xml:space="preserve"> </w:t>
      </w:r>
    </w:p>
    <w:p w14:paraId="40B63A0C" w14:textId="77777777" w:rsidR="00B82D70" w:rsidRDefault="00B82D70" w:rsidP="00B82D70">
      <w:pPr>
        <w:spacing w:before="0" w:after="0"/>
        <w:rPr>
          <w:rFonts w:ascii="Arial" w:hAnsi="Arial" w:cs="Arial"/>
          <w:b/>
          <w:color w:val="000000"/>
          <w:sz w:val="22"/>
          <w:szCs w:val="22"/>
        </w:rPr>
      </w:pPr>
    </w:p>
    <w:p w14:paraId="29DDC670" w14:textId="71684EC4" w:rsidR="00B82D70" w:rsidRPr="009E0D2E" w:rsidRDefault="00B82D70" w:rsidP="00B82D70">
      <w:pPr>
        <w:widowControl w:val="0"/>
        <w:kinsoku w:val="0"/>
        <w:spacing w:before="0" w:after="0"/>
        <w:contextualSpacing/>
        <w:rPr>
          <w:rFonts w:eastAsia="Calibri" w:cs="Times New Roman"/>
          <w:b/>
          <w:sz w:val="22"/>
          <w:szCs w:val="22"/>
        </w:rPr>
      </w:pPr>
      <w:r w:rsidRPr="009E0D2E">
        <w:rPr>
          <w:rFonts w:eastAsia="Times New Roman" w:cs="Times New Roman"/>
          <w:color w:val="000000"/>
          <w:sz w:val="22"/>
          <w:szCs w:val="22"/>
          <w:lang w:eastAsia="es-MX"/>
        </w:rPr>
        <w:t xml:space="preserve">El monto de </w:t>
      </w:r>
      <w:r w:rsidR="00401D23">
        <w:rPr>
          <w:rFonts w:eastAsia="Times New Roman" w:cs="Times New Roman"/>
          <w:color w:val="000000"/>
          <w:sz w:val="22"/>
          <w:szCs w:val="22"/>
          <w:lang w:eastAsia="es-MX"/>
        </w:rPr>
        <w:t>2</w:t>
      </w:r>
      <w:r w:rsidR="00570A02" w:rsidRPr="004C6C20">
        <w:rPr>
          <w:rFonts w:eastAsia="Calibri" w:cs="Times New Roman"/>
          <w:color w:val="000000"/>
          <w:sz w:val="22"/>
          <w:szCs w:val="22"/>
        </w:rPr>
        <w:t xml:space="preserve"> mil </w:t>
      </w:r>
      <w:r w:rsidR="00401D23">
        <w:rPr>
          <w:rFonts w:eastAsia="Calibri" w:cs="Times New Roman"/>
          <w:color w:val="000000"/>
          <w:sz w:val="22"/>
          <w:szCs w:val="22"/>
        </w:rPr>
        <w:t xml:space="preserve">512 </w:t>
      </w:r>
      <w:r w:rsidR="00570A02" w:rsidRPr="004C6C20">
        <w:rPr>
          <w:rFonts w:eastAsia="Calibri" w:cs="Times New Roman"/>
          <w:color w:val="000000"/>
          <w:sz w:val="22"/>
          <w:szCs w:val="22"/>
        </w:rPr>
        <w:t xml:space="preserve">millones </w:t>
      </w:r>
      <w:r w:rsidR="00401D23">
        <w:rPr>
          <w:rFonts w:eastAsia="Calibri" w:cs="Times New Roman"/>
          <w:color w:val="000000"/>
          <w:sz w:val="22"/>
          <w:szCs w:val="22"/>
        </w:rPr>
        <w:t>260</w:t>
      </w:r>
      <w:r w:rsidR="00570A02" w:rsidRPr="004C6C20">
        <w:rPr>
          <w:rFonts w:eastAsia="Calibri" w:cs="Times New Roman"/>
          <w:color w:val="000000"/>
          <w:sz w:val="22"/>
          <w:szCs w:val="22"/>
        </w:rPr>
        <w:t xml:space="preserve"> mil </w:t>
      </w:r>
      <w:r w:rsidR="00401D23">
        <w:rPr>
          <w:rFonts w:eastAsia="Calibri" w:cs="Times New Roman"/>
          <w:color w:val="000000"/>
          <w:sz w:val="22"/>
          <w:szCs w:val="22"/>
        </w:rPr>
        <w:t>579</w:t>
      </w:r>
      <w:r w:rsidR="00570A02" w:rsidRPr="004C6C20">
        <w:rPr>
          <w:rFonts w:eastAsia="Calibri" w:cs="Times New Roman"/>
          <w:color w:val="000000"/>
          <w:sz w:val="22"/>
          <w:szCs w:val="22"/>
        </w:rPr>
        <w:t xml:space="preserve"> pesos</w:t>
      </w:r>
      <w:r w:rsidRPr="009E0D2E">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3C1275A1" w14:textId="77777777" w:rsidR="00B82D70" w:rsidRPr="009E0D2E" w:rsidRDefault="00B82D70" w:rsidP="00B82D70">
      <w:pPr>
        <w:spacing w:before="0" w:after="0"/>
        <w:rPr>
          <w:rFonts w:eastAsia="Calibri" w:cs="Times New Roman"/>
          <w:b/>
          <w:sz w:val="22"/>
          <w:szCs w:val="22"/>
        </w:rPr>
      </w:pPr>
    </w:p>
    <w:p w14:paraId="2B376B25" w14:textId="77777777" w:rsidR="00B82D70" w:rsidRDefault="00B82D70" w:rsidP="00B82D70">
      <w:pPr>
        <w:spacing w:before="0" w:after="0"/>
        <w:rPr>
          <w:rFonts w:ascii="Arial" w:hAnsi="Arial" w:cs="Arial"/>
          <w:b/>
          <w:color w:val="000000"/>
          <w:sz w:val="22"/>
          <w:szCs w:val="22"/>
        </w:rPr>
      </w:pPr>
      <w:r w:rsidRPr="009E0D2E">
        <w:rPr>
          <w:rFonts w:eastAsia="Calibri" w:cs="Times New Roman"/>
          <w:b/>
          <w:sz w:val="22"/>
          <w:szCs w:val="22"/>
        </w:rPr>
        <w:t>Resultado de Ejercicios Anteriores</w:t>
      </w:r>
      <w:r w:rsidRPr="009E0D2E">
        <w:rPr>
          <w:rFonts w:ascii="Arial" w:hAnsi="Arial" w:cs="Arial"/>
          <w:b/>
          <w:color w:val="000000"/>
          <w:sz w:val="22"/>
          <w:szCs w:val="22"/>
        </w:rPr>
        <w:t xml:space="preserve"> </w:t>
      </w:r>
    </w:p>
    <w:p w14:paraId="08163320" w14:textId="77777777" w:rsidR="001274E9" w:rsidRDefault="001274E9" w:rsidP="00B82D70">
      <w:pPr>
        <w:spacing w:before="0" w:after="0"/>
        <w:rPr>
          <w:rFonts w:ascii="Arial" w:hAnsi="Arial" w:cs="Arial"/>
          <w:b/>
          <w:color w:val="000000"/>
          <w:sz w:val="22"/>
          <w:szCs w:val="22"/>
        </w:rPr>
      </w:pPr>
    </w:p>
    <w:p w14:paraId="1A4B3C7B" w14:textId="6A2D6037" w:rsidR="00A07777" w:rsidRDefault="00B82D70" w:rsidP="00B82D70">
      <w:pPr>
        <w:spacing w:before="0" w:after="0"/>
        <w:rPr>
          <w:rFonts w:eastAsia="Times New Roman" w:cs="Times New Roman"/>
          <w:color w:val="000000"/>
          <w:sz w:val="22"/>
          <w:szCs w:val="22"/>
          <w:lang w:eastAsia="es-MX"/>
        </w:rPr>
      </w:pPr>
      <w:r w:rsidRPr="009E0D2E">
        <w:rPr>
          <w:rFonts w:eastAsia="Times New Roman" w:cs="Times New Roman"/>
          <w:color w:val="000000"/>
          <w:sz w:val="22"/>
          <w:szCs w:val="22"/>
          <w:lang w:eastAsia="es-MX"/>
        </w:rPr>
        <w:t xml:space="preserve">Representa el saldo acumulado de los resultados obtenidos de ejercicios anteriores, el cual refleja un ahorro (superávit) </w:t>
      </w:r>
      <w:r w:rsidRPr="00570A02">
        <w:rPr>
          <w:rFonts w:eastAsia="Times New Roman" w:cs="Times New Roman"/>
          <w:color w:val="000000"/>
          <w:sz w:val="22"/>
          <w:szCs w:val="22"/>
          <w:lang w:eastAsia="es-MX"/>
        </w:rPr>
        <w:t xml:space="preserve">de </w:t>
      </w:r>
      <w:r w:rsidR="00401D23">
        <w:rPr>
          <w:rFonts w:eastAsia="Times New Roman" w:cs="Times New Roman"/>
          <w:color w:val="000000"/>
          <w:sz w:val="22"/>
          <w:szCs w:val="22"/>
          <w:lang w:eastAsia="es-MX"/>
        </w:rPr>
        <w:t>9</w:t>
      </w:r>
      <w:r w:rsidRPr="00570A02">
        <w:rPr>
          <w:rFonts w:eastAsia="Times New Roman" w:cs="Times New Roman"/>
          <w:color w:val="000000"/>
          <w:sz w:val="22"/>
          <w:szCs w:val="22"/>
          <w:lang w:eastAsia="es-MX"/>
        </w:rPr>
        <w:t xml:space="preserve"> mil </w:t>
      </w:r>
      <w:r w:rsidR="00401D23">
        <w:rPr>
          <w:rFonts w:eastAsia="Times New Roman" w:cs="Times New Roman"/>
          <w:color w:val="000000"/>
          <w:sz w:val="22"/>
          <w:szCs w:val="22"/>
          <w:lang w:eastAsia="es-MX"/>
        </w:rPr>
        <w:t>661</w:t>
      </w:r>
      <w:r w:rsidRPr="00570A02">
        <w:rPr>
          <w:rFonts w:eastAsia="Times New Roman" w:cs="Times New Roman"/>
          <w:color w:val="000000"/>
          <w:sz w:val="22"/>
          <w:szCs w:val="22"/>
          <w:lang w:eastAsia="es-MX"/>
        </w:rPr>
        <w:t xml:space="preserve"> millones </w:t>
      </w:r>
      <w:r w:rsidR="00401D23">
        <w:rPr>
          <w:rFonts w:eastAsia="Times New Roman" w:cs="Times New Roman"/>
          <w:color w:val="000000"/>
          <w:sz w:val="22"/>
          <w:szCs w:val="22"/>
          <w:lang w:eastAsia="es-MX"/>
        </w:rPr>
        <w:t>39</w:t>
      </w:r>
      <w:r w:rsidRPr="00570A02">
        <w:rPr>
          <w:rFonts w:eastAsia="Times New Roman" w:cs="Times New Roman"/>
          <w:color w:val="000000"/>
          <w:sz w:val="22"/>
          <w:szCs w:val="22"/>
          <w:lang w:eastAsia="es-MX"/>
        </w:rPr>
        <w:t xml:space="preserve"> mil </w:t>
      </w:r>
      <w:r w:rsidR="00401D23">
        <w:rPr>
          <w:rFonts w:eastAsia="Times New Roman" w:cs="Times New Roman"/>
          <w:color w:val="000000"/>
          <w:sz w:val="22"/>
          <w:szCs w:val="22"/>
          <w:lang w:eastAsia="es-MX"/>
        </w:rPr>
        <w:t>900</w:t>
      </w:r>
      <w:r w:rsidRPr="00570A02">
        <w:rPr>
          <w:rFonts w:eastAsia="Times New Roman" w:cs="Times New Roman"/>
          <w:color w:val="000000"/>
          <w:sz w:val="22"/>
          <w:szCs w:val="22"/>
          <w:lang w:eastAsia="es-MX"/>
        </w:rPr>
        <w:t xml:space="preserve"> pesos, en</w:t>
      </w:r>
      <w:r w:rsidRPr="009E0D2E">
        <w:rPr>
          <w:rFonts w:eastAsia="Times New Roman" w:cs="Times New Roman"/>
          <w:color w:val="000000"/>
          <w:sz w:val="22"/>
          <w:szCs w:val="22"/>
          <w:lang w:eastAsia="es-MX"/>
        </w:rPr>
        <w:t xml:space="preserve"> donde ya se incluye el </w:t>
      </w:r>
    </w:p>
    <w:p w14:paraId="56B40D71" w14:textId="02AB8D00" w:rsidR="00B82D70" w:rsidRPr="009E0D2E" w:rsidRDefault="00B82D70" w:rsidP="00B82D70">
      <w:pPr>
        <w:spacing w:before="0" w:after="0"/>
        <w:rPr>
          <w:rFonts w:eastAsia="Times New Roman" w:cs="Times New Roman"/>
          <w:color w:val="000000"/>
          <w:sz w:val="22"/>
          <w:szCs w:val="22"/>
          <w:lang w:eastAsia="es-MX"/>
        </w:rPr>
      </w:pPr>
      <w:r w:rsidRPr="009E0D2E">
        <w:rPr>
          <w:rFonts w:eastAsia="Times New Roman" w:cs="Times New Roman"/>
          <w:color w:val="000000"/>
          <w:sz w:val="22"/>
          <w:szCs w:val="22"/>
          <w:lang w:eastAsia="es-MX"/>
        </w:rPr>
        <w:t>resultado superavitario o ahorro q</w:t>
      </w:r>
      <w:r>
        <w:rPr>
          <w:rFonts w:eastAsia="Times New Roman" w:cs="Times New Roman"/>
          <w:color w:val="000000"/>
          <w:sz w:val="22"/>
          <w:szCs w:val="22"/>
          <w:lang w:eastAsia="es-MX"/>
        </w:rPr>
        <w:t>ue se obtuvo en el ejercicio 202</w:t>
      </w:r>
      <w:r w:rsidR="006D7C47">
        <w:rPr>
          <w:rFonts w:eastAsia="Times New Roman" w:cs="Times New Roman"/>
          <w:color w:val="000000"/>
          <w:sz w:val="22"/>
          <w:szCs w:val="22"/>
          <w:lang w:eastAsia="es-MX"/>
        </w:rPr>
        <w:t>1</w:t>
      </w:r>
      <w:r w:rsidRPr="009E0D2E">
        <w:rPr>
          <w:rFonts w:eastAsia="Times New Roman" w:cs="Times New Roman"/>
          <w:color w:val="000000"/>
          <w:sz w:val="22"/>
          <w:szCs w:val="22"/>
          <w:lang w:eastAsia="es-MX"/>
        </w:rPr>
        <w:t xml:space="preserve"> por un importe de </w:t>
      </w:r>
      <w:r>
        <w:rPr>
          <w:rFonts w:eastAsia="Times New Roman" w:cs="Times New Roman"/>
          <w:color w:val="000000"/>
          <w:sz w:val="22"/>
          <w:szCs w:val="22"/>
          <w:lang w:eastAsia="es-MX"/>
        </w:rPr>
        <w:t>1</w:t>
      </w:r>
      <w:r w:rsidRPr="009E0D2E">
        <w:rPr>
          <w:rFonts w:eastAsia="Times New Roman" w:cs="Times New Roman"/>
          <w:color w:val="000000"/>
          <w:sz w:val="22"/>
          <w:szCs w:val="22"/>
          <w:lang w:eastAsia="es-MX"/>
        </w:rPr>
        <w:t xml:space="preserve"> mil </w:t>
      </w:r>
      <w:r w:rsidR="006D7C47">
        <w:rPr>
          <w:rFonts w:eastAsia="Times New Roman" w:cs="Times New Roman"/>
          <w:color w:val="000000"/>
          <w:sz w:val="22"/>
          <w:szCs w:val="22"/>
          <w:lang w:eastAsia="es-MX"/>
        </w:rPr>
        <w:t>33</w:t>
      </w:r>
      <w:r w:rsidRPr="009E0D2E">
        <w:rPr>
          <w:rFonts w:eastAsia="Times New Roman" w:cs="Times New Roman"/>
          <w:color w:val="000000"/>
          <w:sz w:val="22"/>
          <w:szCs w:val="22"/>
          <w:lang w:eastAsia="es-MX"/>
        </w:rPr>
        <w:t xml:space="preserve"> millones </w:t>
      </w:r>
      <w:r w:rsidR="00102DD3">
        <w:rPr>
          <w:rFonts w:eastAsia="Times New Roman" w:cs="Times New Roman"/>
          <w:color w:val="000000"/>
          <w:sz w:val="22"/>
          <w:szCs w:val="22"/>
          <w:lang w:eastAsia="es-MX"/>
        </w:rPr>
        <w:t>307</w:t>
      </w:r>
      <w:r w:rsidRPr="009E0D2E">
        <w:rPr>
          <w:rFonts w:eastAsia="Times New Roman" w:cs="Times New Roman"/>
          <w:color w:val="000000"/>
          <w:sz w:val="22"/>
          <w:szCs w:val="22"/>
          <w:lang w:eastAsia="es-MX"/>
        </w:rPr>
        <w:t xml:space="preserve"> mil </w:t>
      </w:r>
      <w:r w:rsidR="00102DD3">
        <w:rPr>
          <w:rFonts w:eastAsia="Times New Roman" w:cs="Times New Roman"/>
          <w:color w:val="000000"/>
          <w:sz w:val="22"/>
          <w:szCs w:val="22"/>
          <w:lang w:eastAsia="es-MX"/>
        </w:rPr>
        <w:t>692</w:t>
      </w:r>
      <w:r w:rsidRPr="009E0D2E">
        <w:rPr>
          <w:rFonts w:eastAsia="Times New Roman" w:cs="Times New Roman"/>
          <w:color w:val="000000"/>
          <w:sz w:val="22"/>
          <w:szCs w:val="22"/>
          <w:lang w:eastAsia="es-MX"/>
        </w:rPr>
        <w:t xml:space="preserve"> pesos.</w:t>
      </w:r>
    </w:p>
    <w:p w14:paraId="4EA6E7C9" w14:textId="77777777" w:rsidR="000F24EE" w:rsidRDefault="000F24EE" w:rsidP="00B82D70">
      <w:pPr>
        <w:widowControl w:val="0"/>
        <w:kinsoku w:val="0"/>
        <w:spacing w:before="0" w:after="0"/>
        <w:contextualSpacing/>
        <w:rPr>
          <w:rFonts w:eastAsia="Times New Roman" w:cs="Times New Roman"/>
          <w:color w:val="000000"/>
          <w:sz w:val="22"/>
          <w:szCs w:val="22"/>
          <w:lang w:eastAsia="es-MX"/>
        </w:rPr>
      </w:pPr>
    </w:p>
    <w:p w14:paraId="08D2FFED" w14:textId="2DCE4326" w:rsidR="009A652D" w:rsidRDefault="009A652D" w:rsidP="009A652D">
      <w:pPr>
        <w:spacing w:before="0" w:after="0"/>
        <w:rPr>
          <w:rFonts w:ascii="Arial" w:hAnsi="Arial" w:cs="Arial"/>
          <w:b/>
          <w:color w:val="000000"/>
          <w:sz w:val="22"/>
          <w:szCs w:val="22"/>
        </w:rPr>
      </w:pPr>
      <w:r>
        <w:rPr>
          <w:rFonts w:eastAsia="Calibri" w:cs="Times New Roman"/>
          <w:b/>
          <w:sz w:val="22"/>
          <w:szCs w:val="22"/>
        </w:rPr>
        <w:t xml:space="preserve">Rectificaciones de </w:t>
      </w:r>
      <w:r w:rsidRPr="009E0D2E">
        <w:rPr>
          <w:rFonts w:eastAsia="Calibri" w:cs="Times New Roman"/>
          <w:b/>
          <w:sz w:val="22"/>
          <w:szCs w:val="22"/>
        </w:rPr>
        <w:t>Resultado de Ejercicios Anteriores</w:t>
      </w:r>
      <w:r w:rsidRPr="009E0D2E">
        <w:rPr>
          <w:rFonts w:ascii="Arial" w:hAnsi="Arial" w:cs="Arial"/>
          <w:b/>
          <w:color w:val="000000"/>
          <w:sz w:val="22"/>
          <w:szCs w:val="22"/>
        </w:rPr>
        <w:t xml:space="preserve"> </w:t>
      </w:r>
    </w:p>
    <w:p w14:paraId="1ABAD430" w14:textId="03BE23A4" w:rsidR="009A652D" w:rsidRDefault="009A652D" w:rsidP="00B82D70">
      <w:pPr>
        <w:widowControl w:val="0"/>
        <w:kinsoku w:val="0"/>
        <w:spacing w:before="0" w:after="0"/>
        <w:contextualSpacing/>
        <w:rPr>
          <w:rFonts w:eastAsia="Times New Roman" w:cs="Times New Roman"/>
          <w:color w:val="000000"/>
          <w:sz w:val="22"/>
          <w:szCs w:val="22"/>
          <w:lang w:eastAsia="es-MX"/>
        </w:rPr>
      </w:pPr>
    </w:p>
    <w:p w14:paraId="772D9AFF" w14:textId="5BD21801" w:rsidR="005C4CDB" w:rsidRDefault="003E0BBE" w:rsidP="00B82D70">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En esta cuenta se </w:t>
      </w:r>
      <w:r w:rsidR="00072B36">
        <w:rPr>
          <w:rFonts w:eastAsia="Times New Roman" w:cs="Times New Roman"/>
          <w:color w:val="000000"/>
          <w:sz w:val="22"/>
          <w:szCs w:val="22"/>
          <w:lang w:eastAsia="es-MX"/>
        </w:rPr>
        <w:t>establece el</w:t>
      </w:r>
      <w:r w:rsidRPr="003E0BBE">
        <w:rPr>
          <w:rFonts w:eastAsia="Times New Roman" w:cs="Times New Roman"/>
          <w:color w:val="000000"/>
          <w:sz w:val="22"/>
          <w:szCs w:val="22"/>
          <w:lang w:eastAsia="es-MX"/>
        </w:rPr>
        <w:t xml:space="preserve"> importe correspondiente a la corrección de las omisiones, </w:t>
      </w:r>
      <w:r w:rsidRPr="003E0BBE">
        <w:rPr>
          <w:rFonts w:eastAsia="Times New Roman" w:cs="Times New Roman"/>
          <w:color w:val="000000"/>
          <w:sz w:val="22"/>
          <w:szCs w:val="22"/>
          <w:lang w:eastAsia="es-MX"/>
        </w:rPr>
        <w:lastRenderedPageBreak/>
        <w:t>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r w:rsidR="00072B36">
        <w:rPr>
          <w:rFonts w:eastAsia="Times New Roman" w:cs="Times New Roman"/>
          <w:color w:val="000000"/>
          <w:sz w:val="22"/>
          <w:szCs w:val="22"/>
          <w:lang w:eastAsia="es-MX"/>
        </w:rPr>
        <w:t>.</w:t>
      </w:r>
    </w:p>
    <w:p w14:paraId="5D6967B4"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641F29EE"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680612DC"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636959E2"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2688822C"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581CB280"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640F3791"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70AAE4CA"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220AA7B5"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15A3AB49"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5E1192EB"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61D48AB5"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1B74D8F3"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407C3F2C"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32DEDFA2"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55E49BE7"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6731E1C7"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0C0CD93A"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79CAED5A"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27D69B0B"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70541AC7" w14:textId="77777777" w:rsidR="00401D23" w:rsidRDefault="00401D23" w:rsidP="00B82D70">
      <w:pPr>
        <w:widowControl w:val="0"/>
        <w:kinsoku w:val="0"/>
        <w:spacing w:before="0" w:after="0"/>
        <w:contextualSpacing/>
        <w:rPr>
          <w:rFonts w:eastAsia="Times New Roman" w:cs="Times New Roman"/>
          <w:color w:val="000000"/>
          <w:sz w:val="22"/>
          <w:szCs w:val="22"/>
          <w:lang w:eastAsia="es-MX"/>
        </w:rPr>
      </w:pPr>
    </w:p>
    <w:p w14:paraId="7796E600" w14:textId="63239BA7" w:rsidR="00C33638" w:rsidRDefault="009627F2" w:rsidP="00C33638">
      <w:pPr>
        <w:widowControl w:val="0"/>
        <w:kinsoku w:val="0"/>
        <w:spacing w:before="0" w:after="0"/>
        <w:contextualSpacing/>
        <w:rPr>
          <w:rFonts w:eastAsia="Calibri" w:cs="Times New Roman"/>
          <w:b/>
          <w:szCs w:val="36"/>
        </w:rPr>
      </w:pPr>
      <w:r>
        <w:rPr>
          <w:rFonts w:eastAsia="Calibri" w:cs="Times New Roman"/>
          <w:b/>
          <w:szCs w:val="36"/>
        </w:rPr>
        <w:lastRenderedPageBreak/>
        <w:t xml:space="preserve">IV) </w:t>
      </w:r>
      <w:r w:rsidR="00C33638" w:rsidRPr="004D2F4C">
        <w:rPr>
          <w:rFonts w:eastAsia="Calibri" w:cs="Times New Roman"/>
          <w:b/>
          <w:szCs w:val="36"/>
        </w:rPr>
        <w:t>NOTAS AL ESTADO DE FLUJOS DE EFECTIVO</w:t>
      </w:r>
    </w:p>
    <w:p w14:paraId="42670609" w14:textId="294E080D" w:rsidR="00090BDA" w:rsidRDefault="00090BDA" w:rsidP="00090BDA">
      <w:pPr>
        <w:widowControl w:val="0"/>
        <w:kinsoku w:val="0"/>
        <w:spacing w:before="0" w:after="0"/>
        <w:contextualSpacing/>
        <w:rPr>
          <w:noProof/>
        </w:rPr>
      </w:pPr>
      <w:r>
        <w:rPr>
          <w:rFonts w:eastAsia="Times New Roman" w:cs="Times New Roman"/>
          <w:color w:val="000000"/>
          <w:sz w:val="22"/>
          <w:szCs w:val="22"/>
          <w:lang w:eastAsia="es-MX"/>
        </w:rPr>
        <w:t xml:space="preserve">1.- </w:t>
      </w:r>
      <w:r w:rsidR="00E110DE">
        <w:rPr>
          <w:rFonts w:eastAsia="Times New Roman" w:cs="Times New Roman"/>
          <w:color w:val="000000"/>
          <w:sz w:val="22"/>
          <w:szCs w:val="22"/>
          <w:lang w:eastAsia="es-MX"/>
        </w:rPr>
        <w:t xml:space="preserve">La integración </w:t>
      </w:r>
      <w:r>
        <w:rPr>
          <w:rFonts w:eastAsia="Times New Roman" w:cs="Times New Roman"/>
          <w:color w:val="000000"/>
          <w:sz w:val="22"/>
          <w:szCs w:val="22"/>
          <w:lang w:eastAsia="es-MX"/>
        </w:rPr>
        <w:t xml:space="preserve">de </w:t>
      </w:r>
      <w:r w:rsidR="00326E05">
        <w:rPr>
          <w:rFonts w:eastAsia="Times New Roman" w:cs="Times New Roman"/>
          <w:color w:val="000000"/>
          <w:sz w:val="22"/>
          <w:szCs w:val="22"/>
          <w:lang w:eastAsia="es-MX"/>
        </w:rPr>
        <w:t>los saldos inicial y final al 3</w:t>
      </w:r>
      <w:r w:rsidR="00A364F3">
        <w:rPr>
          <w:rFonts w:eastAsia="Times New Roman" w:cs="Times New Roman"/>
          <w:color w:val="000000"/>
          <w:sz w:val="22"/>
          <w:szCs w:val="22"/>
          <w:lang w:eastAsia="es-MX"/>
        </w:rPr>
        <w:t>0</w:t>
      </w:r>
      <w:r w:rsidR="00A52941">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 xml:space="preserve">de </w:t>
      </w:r>
      <w:r w:rsidR="00121EF0">
        <w:rPr>
          <w:rFonts w:eastAsia="Times New Roman" w:cs="Times New Roman"/>
          <w:color w:val="000000"/>
          <w:sz w:val="22"/>
          <w:szCs w:val="22"/>
          <w:lang w:eastAsia="es-MX"/>
        </w:rPr>
        <w:t>septiembre</w:t>
      </w:r>
      <w:r w:rsidR="00A52941">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de 202</w:t>
      </w:r>
      <w:r w:rsidR="00940E50">
        <w:rPr>
          <w:rFonts w:eastAsia="Times New Roman" w:cs="Times New Roman"/>
          <w:color w:val="000000"/>
          <w:sz w:val="22"/>
          <w:szCs w:val="22"/>
          <w:lang w:eastAsia="es-MX"/>
        </w:rPr>
        <w:t>2</w:t>
      </w:r>
      <w:r>
        <w:rPr>
          <w:rFonts w:eastAsia="Times New Roman" w:cs="Times New Roman"/>
          <w:color w:val="000000"/>
          <w:sz w:val="22"/>
          <w:szCs w:val="22"/>
          <w:lang w:eastAsia="es-MX"/>
        </w:rPr>
        <w:t xml:space="preserve"> del Efectivo y Equivalentes, que figuran en la última parte del Estado de Flujo de Efectivo en esta cuenta es </w:t>
      </w:r>
      <w:r w:rsidR="00E110DE">
        <w:rPr>
          <w:rFonts w:eastAsia="Times New Roman" w:cs="Times New Roman"/>
          <w:color w:val="000000"/>
          <w:sz w:val="22"/>
          <w:szCs w:val="22"/>
          <w:lang w:eastAsia="es-MX"/>
        </w:rPr>
        <w:t>la siguiente</w:t>
      </w:r>
      <w:r>
        <w:rPr>
          <w:rFonts w:eastAsia="Times New Roman" w:cs="Times New Roman"/>
          <w:color w:val="000000"/>
          <w:sz w:val="22"/>
          <w:szCs w:val="22"/>
          <w:lang w:eastAsia="es-MX"/>
        </w:rPr>
        <w:t xml:space="preserve">: </w:t>
      </w:r>
      <w:r w:rsidRPr="009E0D2E">
        <w:rPr>
          <w:rFonts w:eastAsia="Times New Roman" w:cs="Times New Roman"/>
          <w:color w:val="000000"/>
          <w:sz w:val="22"/>
          <w:szCs w:val="22"/>
          <w:lang w:eastAsia="es-MX"/>
        </w:rPr>
        <w:t xml:space="preserve"> </w:t>
      </w:r>
    </w:p>
    <w:p w14:paraId="20703298" w14:textId="135856DF" w:rsidR="00387CC6" w:rsidRDefault="00387CC6" w:rsidP="00090BDA">
      <w:pPr>
        <w:widowControl w:val="0"/>
        <w:kinsoku w:val="0"/>
        <w:spacing w:before="0" w:after="0"/>
        <w:contextualSpacing/>
        <w:rPr>
          <w:noProof/>
        </w:rPr>
      </w:pPr>
      <w:r w:rsidRPr="00387CC6">
        <w:rPr>
          <w:noProof/>
        </w:rPr>
        <w:drawing>
          <wp:inline distT="0" distB="0" distL="0" distR="0" wp14:anchorId="27DAA325" wp14:editId="5C4298EA">
            <wp:extent cx="6257925" cy="1654175"/>
            <wp:effectExtent l="0" t="0" r="952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6257925" cy="1654175"/>
                    </a:xfrm>
                    <a:prstGeom prst="rect">
                      <a:avLst/>
                    </a:prstGeom>
                    <a:noFill/>
                    <a:ln>
                      <a:noFill/>
                    </a:ln>
                  </pic:spPr>
                </pic:pic>
              </a:graphicData>
            </a:graphic>
          </wp:inline>
        </w:drawing>
      </w:r>
    </w:p>
    <w:p w14:paraId="2BD9CDB2" w14:textId="77777777" w:rsidR="00387CC6" w:rsidRDefault="00387CC6" w:rsidP="00090BDA">
      <w:pPr>
        <w:widowControl w:val="0"/>
        <w:kinsoku w:val="0"/>
        <w:spacing w:before="0" w:after="0"/>
        <w:contextualSpacing/>
        <w:rPr>
          <w:rFonts w:eastAsia="Times New Roman" w:cs="Times New Roman"/>
          <w:color w:val="000000"/>
          <w:sz w:val="22"/>
          <w:szCs w:val="22"/>
          <w:lang w:eastAsia="es-MX"/>
        </w:rPr>
      </w:pPr>
    </w:p>
    <w:p w14:paraId="2C4F9A8E" w14:textId="77777777" w:rsidR="0061671E" w:rsidRDefault="0061671E" w:rsidP="00C33638">
      <w:pPr>
        <w:widowControl w:val="0"/>
        <w:kinsoku w:val="0"/>
        <w:spacing w:before="0" w:after="0"/>
        <w:contextualSpacing/>
        <w:rPr>
          <w:rFonts w:eastAsia="Times New Roman" w:cs="Times New Roman"/>
          <w:color w:val="000000"/>
          <w:sz w:val="22"/>
          <w:szCs w:val="22"/>
          <w:lang w:eastAsia="es-MX"/>
        </w:rPr>
      </w:pPr>
    </w:p>
    <w:p w14:paraId="27B8ABF6"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787481F5"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322A10D5"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7C99231D"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0169108E"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1D981AC1"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19432870"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18C101EE"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58DF77F1"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4BC7F909"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73C2D5EE"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57A6F468"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4D072E1D"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3081BEC1" w14:textId="2C7DA6D5" w:rsidR="00436E24" w:rsidRDefault="00090BDA" w:rsidP="00C33638">
      <w:pPr>
        <w:widowControl w:val="0"/>
        <w:kinsoku w:val="0"/>
        <w:spacing w:before="0" w:after="0"/>
        <w:contextualSpacing/>
        <w:rPr>
          <w:rFonts w:eastAsia="Times New Roman" w:cs="Times New Roman"/>
          <w:color w:val="000000"/>
          <w:sz w:val="22"/>
          <w:szCs w:val="22"/>
          <w:lang w:eastAsia="es-MX"/>
        </w:rPr>
      </w:pPr>
      <w:r w:rsidRPr="0070531D">
        <w:rPr>
          <w:rFonts w:eastAsia="Times New Roman" w:cs="Times New Roman"/>
          <w:color w:val="000000"/>
          <w:sz w:val="22"/>
          <w:szCs w:val="22"/>
          <w:lang w:eastAsia="es-MX"/>
        </w:rPr>
        <w:lastRenderedPageBreak/>
        <w:t xml:space="preserve">  </w:t>
      </w:r>
    </w:p>
    <w:p w14:paraId="1FE7FCC3" w14:textId="37352E29" w:rsidR="00290880" w:rsidRPr="001274E9" w:rsidRDefault="009627F2" w:rsidP="001274E9">
      <w:pPr>
        <w:widowControl w:val="0"/>
        <w:kinsoku w:val="0"/>
        <w:spacing w:before="0" w:after="0"/>
        <w:contextualSpacing/>
        <w:jc w:val="center"/>
        <w:rPr>
          <w:rFonts w:eastAsia="Calibri" w:cs="Times New Roman"/>
          <w:b/>
          <w:szCs w:val="36"/>
        </w:rPr>
      </w:pPr>
      <w:r>
        <w:rPr>
          <w:rFonts w:eastAsia="Calibri" w:cs="Times New Roman"/>
          <w:b/>
          <w:szCs w:val="36"/>
        </w:rPr>
        <w:t xml:space="preserve">V) </w:t>
      </w:r>
      <w:r w:rsidR="00C33638" w:rsidRPr="0010531F">
        <w:rPr>
          <w:rFonts w:eastAsia="Calibri" w:cs="Times New Roman"/>
          <w:b/>
          <w:szCs w:val="36"/>
        </w:rPr>
        <w:t>CONCILIACIÓN ENTRE LOS INGRESOS PRESUPUESTARIOS Y CONTABLES, ASÍ COMO ENTRE LOS EGRESOS PRESUPUESTARIOS Y LOS GASTOS CO</w:t>
      </w:r>
      <w:r w:rsidR="00AC67B5" w:rsidRPr="0010531F">
        <w:rPr>
          <w:rFonts w:eastAsia="Calibri" w:cs="Times New Roman"/>
          <w:b/>
          <w:szCs w:val="36"/>
        </w:rPr>
        <w:t>N</w:t>
      </w:r>
      <w:r w:rsidR="00C33638" w:rsidRPr="0010531F">
        <w:rPr>
          <w:rFonts w:eastAsia="Calibri" w:cs="Times New Roman"/>
          <w:b/>
          <w:szCs w:val="36"/>
        </w:rPr>
        <w:t>TABLES</w:t>
      </w:r>
    </w:p>
    <w:p w14:paraId="4D09F67C" w14:textId="77777777" w:rsidR="00130493" w:rsidRDefault="00130493" w:rsidP="00130493"/>
    <w:p w14:paraId="1C47BD76" w14:textId="0428031E" w:rsidR="00130493" w:rsidRPr="00130493" w:rsidRDefault="00130493" w:rsidP="00130493">
      <w:r w:rsidRPr="00DA7B0E">
        <w:rPr>
          <w:noProof/>
        </w:rPr>
        <w:drawing>
          <wp:inline distT="0" distB="0" distL="0" distR="0" wp14:anchorId="3A8E3936" wp14:editId="7D35A627">
            <wp:extent cx="6076950" cy="5181600"/>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5181600"/>
                    </a:xfrm>
                    <a:prstGeom prst="rect">
                      <a:avLst/>
                    </a:prstGeom>
                    <a:noFill/>
                    <a:ln>
                      <a:noFill/>
                    </a:ln>
                  </pic:spPr>
                </pic:pic>
              </a:graphicData>
            </a:graphic>
          </wp:inline>
        </w:drawing>
      </w:r>
    </w:p>
    <w:p w14:paraId="073C1B4E" w14:textId="77777777" w:rsidR="00130493" w:rsidRDefault="00130493" w:rsidP="00130493">
      <w:pPr>
        <w:spacing w:line="240" w:lineRule="auto"/>
        <w:ind w:left="-142"/>
        <w:jc w:val="center"/>
        <w:rPr>
          <w:noProof/>
          <w:lang w:val="es-MX" w:eastAsia="es-MX"/>
        </w:rPr>
      </w:pPr>
    </w:p>
    <w:p w14:paraId="27F04519" w14:textId="77777777" w:rsidR="00130493" w:rsidRDefault="00130493" w:rsidP="00130493">
      <w:pPr>
        <w:spacing w:line="240" w:lineRule="auto"/>
        <w:ind w:left="-142"/>
        <w:jc w:val="center"/>
        <w:rPr>
          <w:noProof/>
          <w:lang w:val="es-MX" w:eastAsia="es-MX"/>
        </w:rPr>
      </w:pPr>
    </w:p>
    <w:p w14:paraId="479787AE" w14:textId="77777777" w:rsidR="00130493" w:rsidRDefault="00130493" w:rsidP="00130493">
      <w:pPr>
        <w:spacing w:line="240" w:lineRule="auto"/>
        <w:ind w:left="-142"/>
        <w:jc w:val="center"/>
        <w:rPr>
          <w:noProof/>
          <w:lang w:val="es-MX" w:eastAsia="es-MX"/>
        </w:rPr>
      </w:pPr>
    </w:p>
    <w:p w14:paraId="04162D64" w14:textId="0E0C55D1" w:rsidR="00130493" w:rsidRPr="00130493" w:rsidRDefault="00130493" w:rsidP="00130493">
      <w:pPr>
        <w:spacing w:line="240" w:lineRule="auto"/>
        <w:ind w:left="-142"/>
        <w:jc w:val="center"/>
        <w:rPr>
          <w:rFonts w:eastAsia="Calibri" w:cs="Times New Roman"/>
          <w:b/>
          <w:noProof/>
          <w:color w:val="833C0B"/>
          <w:lang w:eastAsia="es-MX"/>
        </w:rPr>
      </w:pPr>
      <w:r>
        <w:rPr>
          <w:rFonts w:eastAsia="Calibri" w:cs="Times New Roman"/>
          <w:b/>
          <w:noProof/>
          <w:color w:val="833C0B"/>
          <w:lang w:eastAsia="es-MX"/>
        </w:rPr>
        <w:t xml:space="preserve"> </w:t>
      </w:r>
    </w:p>
    <w:p w14:paraId="61D81AEF" w14:textId="5A3ADC9C" w:rsidR="00130493" w:rsidRDefault="007531A2" w:rsidP="00130493">
      <w:pPr>
        <w:rPr>
          <w:noProof/>
          <w:color w:val="864A04" w:themeColor="accent2" w:themeShade="80"/>
        </w:rPr>
      </w:pPr>
      <w:r w:rsidRPr="007531A2">
        <w:rPr>
          <w:noProof/>
        </w:rPr>
        <w:lastRenderedPageBreak/>
        <w:drawing>
          <wp:inline distT="0" distB="0" distL="0" distR="0" wp14:anchorId="5FE53A9C" wp14:editId="4DE1E4D2">
            <wp:extent cx="6351270" cy="78917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1270" cy="7891780"/>
                    </a:xfrm>
                    <a:prstGeom prst="rect">
                      <a:avLst/>
                    </a:prstGeom>
                    <a:noFill/>
                    <a:ln>
                      <a:noFill/>
                    </a:ln>
                  </pic:spPr>
                </pic:pic>
              </a:graphicData>
            </a:graphic>
          </wp:inline>
        </w:drawing>
      </w:r>
    </w:p>
    <w:p w14:paraId="17FD829E" w14:textId="7C0EB1E4" w:rsidR="00583D0D" w:rsidRPr="00456403" w:rsidRDefault="00583D0D" w:rsidP="00456403">
      <w:pPr>
        <w:widowControl w:val="0"/>
        <w:kinsoku w:val="0"/>
        <w:spacing w:before="0" w:after="0"/>
        <w:contextualSpacing/>
        <w:jc w:val="center"/>
        <w:rPr>
          <w:rFonts w:eastAsia="Calibri" w:cs="Times New Roman"/>
          <w:b/>
          <w:sz w:val="22"/>
          <w:szCs w:val="22"/>
        </w:rPr>
      </w:pPr>
    </w:p>
    <w:p w14:paraId="631A62AB" w14:textId="77777777" w:rsidR="00583D0D" w:rsidRDefault="00583D0D" w:rsidP="00AA699B">
      <w:pPr>
        <w:widowControl w:val="0"/>
        <w:kinsoku w:val="0"/>
        <w:spacing w:before="0" w:after="0"/>
        <w:contextualSpacing/>
        <w:rPr>
          <w:rFonts w:eastAsia="Calibri" w:cs="Times New Roman"/>
          <w:b/>
          <w:sz w:val="12"/>
          <w:szCs w:val="12"/>
        </w:rPr>
      </w:pPr>
    </w:p>
    <w:p w14:paraId="07249F6D" w14:textId="5C55F4AB" w:rsidR="004A0245" w:rsidRDefault="001D36C8" w:rsidP="004A0245">
      <w:pPr>
        <w:spacing w:before="0" w:after="0"/>
        <w:jc w:val="center"/>
        <w:rPr>
          <w:rFonts w:eastAsia="Calibri" w:cs="Times New Roman"/>
          <w:b/>
          <w:sz w:val="28"/>
          <w:szCs w:val="28"/>
        </w:rPr>
      </w:pPr>
      <w:r>
        <w:rPr>
          <w:rFonts w:eastAsia="Calibri" w:cs="Times New Roman"/>
          <w:b/>
          <w:sz w:val="28"/>
          <w:szCs w:val="28"/>
        </w:rPr>
        <w:t>c</w:t>
      </w:r>
      <w:r w:rsidR="00875454">
        <w:rPr>
          <w:rFonts w:eastAsia="Calibri" w:cs="Times New Roman"/>
          <w:b/>
          <w:sz w:val="28"/>
          <w:szCs w:val="28"/>
        </w:rPr>
        <w:t xml:space="preserve">) </w:t>
      </w:r>
      <w:r w:rsidR="004A0245" w:rsidRPr="008830EE">
        <w:rPr>
          <w:rFonts w:eastAsia="Calibri" w:cs="Times New Roman"/>
          <w:b/>
          <w:sz w:val="28"/>
          <w:szCs w:val="28"/>
        </w:rPr>
        <w:t>NOTAS DE MEMORIA (CUENTAS DE ORDEN)</w:t>
      </w:r>
    </w:p>
    <w:p w14:paraId="03FF5CB6" w14:textId="77777777" w:rsidR="004A7A74" w:rsidRDefault="004A7A74" w:rsidP="004A0245">
      <w:pPr>
        <w:spacing w:before="0" w:after="0"/>
        <w:jc w:val="left"/>
        <w:rPr>
          <w:rFonts w:eastAsia="Calibri" w:cs="Times New Roman"/>
          <w:bCs/>
          <w:sz w:val="22"/>
          <w:szCs w:val="22"/>
        </w:rPr>
      </w:pPr>
    </w:p>
    <w:p w14:paraId="769458ED" w14:textId="77777777" w:rsidR="004A7A74" w:rsidRDefault="004A7A74" w:rsidP="004A7A74">
      <w:pPr>
        <w:spacing w:before="0" w:after="0"/>
        <w:rPr>
          <w:rFonts w:eastAsia="Calibri" w:cs="Times New Roman"/>
          <w:bCs/>
          <w:sz w:val="22"/>
          <w:szCs w:val="22"/>
        </w:rPr>
      </w:pPr>
      <w:r>
        <w:rPr>
          <w:rFonts w:eastAsia="Calibri" w:cs="Times New Roman"/>
          <w:bCs/>
          <w:sz w:val="22"/>
          <w:szCs w:val="22"/>
        </w:rPr>
        <w:t>Se informa de manera agrupada las cuentas de orden contables y cuentas de orden presupuestario, considerando al menos lo siguientes:</w:t>
      </w:r>
    </w:p>
    <w:p w14:paraId="34247FBF" w14:textId="77777777" w:rsidR="008830EE" w:rsidRDefault="008830EE" w:rsidP="004A7A74">
      <w:pPr>
        <w:spacing w:before="0" w:after="0"/>
        <w:rPr>
          <w:rFonts w:eastAsia="Calibri" w:cs="Times New Roman"/>
          <w:bCs/>
          <w:sz w:val="22"/>
          <w:szCs w:val="22"/>
        </w:rPr>
      </w:pPr>
    </w:p>
    <w:p w14:paraId="7745A1C4" w14:textId="77777777" w:rsidR="004A7A74" w:rsidRDefault="004A7A74" w:rsidP="004A7A74">
      <w:pPr>
        <w:spacing w:before="0" w:after="0"/>
        <w:rPr>
          <w:rFonts w:eastAsia="Calibri" w:cs="Times New Roman"/>
          <w:bCs/>
          <w:sz w:val="22"/>
          <w:szCs w:val="22"/>
        </w:rPr>
      </w:pPr>
      <w:r>
        <w:rPr>
          <w:rFonts w:eastAsia="Calibri" w:cs="Times New Roman"/>
          <w:bCs/>
          <w:sz w:val="22"/>
          <w:szCs w:val="22"/>
        </w:rPr>
        <w:t>1.- Los valores en custodia de instrumentos prestados a formadores de mercado e instrumentos de crédito recibidos en garantía de los formadores de mercado u otros: No Aplica</w:t>
      </w:r>
    </w:p>
    <w:p w14:paraId="455BE52C" w14:textId="77777777" w:rsidR="004A7A74" w:rsidRDefault="004A7A74" w:rsidP="004A7A74">
      <w:pPr>
        <w:spacing w:before="0" w:after="0"/>
        <w:rPr>
          <w:rFonts w:eastAsia="Calibri" w:cs="Times New Roman"/>
          <w:bCs/>
          <w:sz w:val="22"/>
          <w:szCs w:val="22"/>
        </w:rPr>
      </w:pPr>
    </w:p>
    <w:p w14:paraId="7173A452" w14:textId="77777777" w:rsidR="004A7A74" w:rsidRDefault="004A7A74" w:rsidP="004A7A74">
      <w:pPr>
        <w:spacing w:before="0" w:after="0"/>
        <w:rPr>
          <w:rFonts w:eastAsia="Calibri" w:cs="Times New Roman"/>
          <w:bCs/>
          <w:sz w:val="22"/>
          <w:szCs w:val="22"/>
        </w:rPr>
      </w:pPr>
      <w:r>
        <w:rPr>
          <w:rFonts w:eastAsia="Calibri" w:cs="Times New Roman"/>
          <w:bCs/>
          <w:sz w:val="22"/>
          <w:szCs w:val="22"/>
        </w:rPr>
        <w:t>2.- Por tipo de emisión de instrumento: monto, tasas y vencimiento: No Aplica</w:t>
      </w:r>
    </w:p>
    <w:p w14:paraId="7C73C7BC" w14:textId="77777777" w:rsidR="008830EE" w:rsidRDefault="008830EE" w:rsidP="004A7A74">
      <w:pPr>
        <w:spacing w:before="0" w:after="0"/>
        <w:rPr>
          <w:rFonts w:eastAsia="Calibri" w:cs="Times New Roman"/>
          <w:bCs/>
          <w:sz w:val="22"/>
          <w:szCs w:val="22"/>
        </w:rPr>
      </w:pPr>
    </w:p>
    <w:p w14:paraId="00C27182" w14:textId="77777777" w:rsidR="004A7A74" w:rsidRDefault="004A7A74" w:rsidP="004A7A74">
      <w:pPr>
        <w:spacing w:before="0" w:after="0"/>
        <w:rPr>
          <w:rFonts w:eastAsia="Calibri" w:cs="Times New Roman"/>
          <w:bCs/>
          <w:sz w:val="22"/>
          <w:szCs w:val="22"/>
        </w:rPr>
      </w:pPr>
      <w:r>
        <w:rPr>
          <w:rFonts w:eastAsia="Calibri" w:cs="Times New Roman"/>
          <w:bCs/>
          <w:sz w:val="22"/>
          <w:szCs w:val="22"/>
        </w:rPr>
        <w:t>3.- Los contratos firmados de construcciones por tipo de contrato: No Aplica</w:t>
      </w:r>
    </w:p>
    <w:p w14:paraId="66231C4D" w14:textId="77777777" w:rsidR="0061671E" w:rsidRDefault="0061671E" w:rsidP="004A7A74">
      <w:pPr>
        <w:spacing w:before="0" w:after="0"/>
        <w:rPr>
          <w:rFonts w:eastAsia="Calibri" w:cs="Times New Roman"/>
          <w:bCs/>
          <w:sz w:val="22"/>
          <w:szCs w:val="22"/>
        </w:rPr>
      </w:pPr>
    </w:p>
    <w:p w14:paraId="3DF6E2E1" w14:textId="77777777" w:rsidR="0061671E" w:rsidRPr="0061671E" w:rsidRDefault="0061671E" w:rsidP="004A7A74">
      <w:pPr>
        <w:spacing w:before="0" w:after="0"/>
        <w:rPr>
          <w:rFonts w:eastAsia="Calibri" w:cs="Times New Roman"/>
          <w:bCs/>
          <w:sz w:val="22"/>
          <w:szCs w:val="22"/>
        </w:rPr>
      </w:pPr>
    </w:p>
    <w:p w14:paraId="20D12CCF" w14:textId="1E8B353B" w:rsidR="00AA699B" w:rsidRDefault="00AA699B" w:rsidP="004A0245">
      <w:pPr>
        <w:spacing w:before="0" w:after="0"/>
        <w:jc w:val="left"/>
        <w:rPr>
          <w:rFonts w:eastAsia="Calibri" w:cs="Times New Roman"/>
          <w:bCs/>
          <w:sz w:val="22"/>
          <w:szCs w:val="22"/>
        </w:rPr>
      </w:pPr>
    </w:p>
    <w:p w14:paraId="5D85C863" w14:textId="70656164" w:rsidR="00E60996" w:rsidRDefault="00E60996" w:rsidP="004A0245">
      <w:pPr>
        <w:spacing w:before="0" w:after="0"/>
        <w:jc w:val="left"/>
        <w:rPr>
          <w:rFonts w:eastAsia="Calibri" w:cs="Times New Roman"/>
          <w:bCs/>
          <w:sz w:val="22"/>
          <w:szCs w:val="22"/>
        </w:rPr>
      </w:pPr>
    </w:p>
    <w:p w14:paraId="7C563AF3" w14:textId="132085C6" w:rsidR="00E60996" w:rsidRDefault="00E60996" w:rsidP="004A0245">
      <w:pPr>
        <w:spacing w:before="0" w:after="0"/>
        <w:jc w:val="left"/>
        <w:rPr>
          <w:rFonts w:eastAsia="Calibri" w:cs="Times New Roman"/>
          <w:bCs/>
          <w:sz w:val="22"/>
          <w:szCs w:val="22"/>
        </w:rPr>
      </w:pPr>
    </w:p>
    <w:p w14:paraId="61B8BC64" w14:textId="072042C4" w:rsidR="00E60996" w:rsidRDefault="00E60996" w:rsidP="004A0245">
      <w:pPr>
        <w:spacing w:before="0" w:after="0"/>
        <w:jc w:val="left"/>
        <w:rPr>
          <w:rFonts w:eastAsia="Calibri" w:cs="Times New Roman"/>
          <w:bCs/>
          <w:sz w:val="22"/>
          <w:szCs w:val="22"/>
        </w:rPr>
      </w:pPr>
    </w:p>
    <w:p w14:paraId="17A6E4AE" w14:textId="789FACF7" w:rsidR="00E7156D" w:rsidRDefault="00E7156D" w:rsidP="005426CA">
      <w:pPr>
        <w:spacing w:before="0" w:after="0"/>
        <w:rPr>
          <w:rFonts w:eastAsia="Calibri" w:cs="Times New Roman"/>
          <w:color w:val="000000"/>
          <w:sz w:val="22"/>
          <w:szCs w:val="22"/>
        </w:rPr>
      </w:pPr>
    </w:p>
    <w:p w14:paraId="20BB840E" w14:textId="77777777" w:rsidR="00E7156D" w:rsidRDefault="00E7156D" w:rsidP="005426CA">
      <w:pPr>
        <w:spacing w:before="0" w:after="0"/>
        <w:rPr>
          <w:rFonts w:eastAsia="Calibri" w:cs="Times New Roman"/>
          <w:color w:val="000000"/>
          <w:sz w:val="22"/>
          <w:szCs w:val="22"/>
        </w:rPr>
      </w:pPr>
    </w:p>
    <w:p w14:paraId="659A9368" w14:textId="7615E24E" w:rsidR="00FA336B" w:rsidRDefault="00FA336B" w:rsidP="005426CA">
      <w:pPr>
        <w:spacing w:before="0" w:after="0"/>
        <w:rPr>
          <w:rFonts w:eastAsia="Calibri" w:cs="Times New Roman"/>
          <w:color w:val="000000"/>
          <w:sz w:val="22"/>
          <w:szCs w:val="22"/>
        </w:rPr>
      </w:pPr>
    </w:p>
    <w:sectPr w:rsidR="00FA336B" w:rsidSect="00CB1741">
      <w:headerReference w:type="even" r:id="rId51"/>
      <w:headerReference w:type="default" r:id="rId52"/>
      <w:footerReference w:type="default" r:id="rId53"/>
      <w:headerReference w:type="first" r:id="rId54"/>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F65ED" w14:textId="77777777" w:rsidR="002840BB" w:rsidRDefault="002840BB" w:rsidP="006A5067">
      <w:pPr>
        <w:spacing w:before="0" w:after="0" w:line="240" w:lineRule="auto"/>
      </w:pPr>
      <w:r>
        <w:separator/>
      </w:r>
    </w:p>
  </w:endnote>
  <w:endnote w:type="continuationSeparator" w:id="0">
    <w:p w14:paraId="19A56AF7" w14:textId="77777777" w:rsidR="002840BB" w:rsidRDefault="002840BB"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GalanoGrotesque-ExtraLight">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545704"/>
      <w:docPartObj>
        <w:docPartGallery w:val="Page Numbers (Bottom of Page)"/>
        <w:docPartUnique/>
      </w:docPartObj>
    </w:sdtPr>
    <w:sdtContent>
      <w:p w14:paraId="5BFF0BAC" w14:textId="77777777" w:rsidR="00CF5776" w:rsidRDefault="006D4F73">
        <w:pPr>
          <w:pStyle w:val="Piedepgina"/>
          <w:jc w:val="center"/>
        </w:pPr>
        <w:r>
          <w:fldChar w:fldCharType="begin"/>
        </w:r>
        <w:r>
          <w:instrText>PAGE   \* MERGEFORMAT</w:instrText>
        </w:r>
        <w:r>
          <w:fldChar w:fldCharType="separate"/>
        </w:r>
        <w:r>
          <w:t>2</w:t>
        </w:r>
        <w:r>
          <w:fldChar w:fldCharType="end"/>
        </w:r>
      </w:p>
      <w:p w14:paraId="52C352FB" w14:textId="751E8667" w:rsidR="006D4F73" w:rsidRDefault="00CF5776">
        <w:pPr>
          <w:pStyle w:val="Piedepgina"/>
          <w:jc w:val="center"/>
        </w:pPr>
        <w:r>
          <w:rPr>
            <w:noProof/>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6D4F73" w:rsidRDefault="006D4F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30005" w14:textId="77777777" w:rsidR="002840BB" w:rsidRDefault="002840BB" w:rsidP="006A5067">
      <w:pPr>
        <w:spacing w:before="0" w:after="0" w:line="240" w:lineRule="auto"/>
      </w:pPr>
      <w:bookmarkStart w:id="0" w:name="_Hlk71019289"/>
      <w:bookmarkEnd w:id="0"/>
      <w:r>
        <w:separator/>
      </w:r>
    </w:p>
  </w:footnote>
  <w:footnote w:type="continuationSeparator" w:id="0">
    <w:p w14:paraId="0F77E053" w14:textId="77777777" w:rsidR="002840BB" w:rsidRDefault="002840BB" w:rsidP="006A50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F45A" w14:textId="54FA492F" w:rsidR="00DC3291" w:rsidRDefault="00000000">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1031"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CA07" w14:textId="16CF1F36" w:rsidR="006D4F73" w:rsidRDefault="005E18AB">
    <w:pPr>
      <w:pStyle w:val="Encabezado"/>
    </w:pPr>
    <w:r>
      <w:rPr>
        <w:noProof/>
      </w:rPr>
      <w:drawing>
        <wp:anchor distT="0" distB="0" distL="114300" distR="114300" simplePos="0" relativeHeight="251661312" behindDoc="1" locked="0" layoutInCell="1" allowOverlap="1" wp14:anchorId="391091CD" wp14:editId="66A441AB">
          <wp:simplePos x="0" y="0"/>
          <wp:positionH relativeFrom="page">
            <wp:posOffset>487728</wp:posOffset>
          </wp:positionH>
          <wp:positionV relativeFrom="paragraph">
            <wp:posOffset>41275</wp:posOffset>
          </wp:positionV>
          <wp:extent cx="6762019" cy="491303"/>
          <wp:effectExtent l="0" t="0" r="127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
                    <a:extLst>
                      <a:ext uri="{28A0092B-C50C-407E-A947-70E740481C1C}">
                        <a14:useLocalDpi xmlns:a14="http://schemas.microsoft.com/office/drawing/2010/main" val="0"/>
                      </a:ext>
                    </a:extLst>
                  </a:blip>
                  <a:stretch>
                    <a:fillRect/>
                  </a:stretch>
                </pic:blipFill>
                <pic:spPr>
                  <a:xfrm>
                    <a:off x="0" y="0"/>
                    <a:ext cx="6762019" cy="491303"/>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1032"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22E4" w14:textId="000BA79E" w:rsidR="006D4F73" w:rsidRDefault="00000000">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1030"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74643C2"/>
    <w:multiLevelType w:val="multilevel"/>
    <w:tmpl w:val="0C0A0025"/>
    <w:numStyleLink w:val="CtaPub"/>
  </w:abstractNum>
  <w:abstractNum w:abstractNumId="3"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9"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41007552">
    <w:abstractNumId w:val="15"/>
  </w:num>
  <w:num w:numId="2" w16cid:durableId="1187791120">
    <w:abstractNumId w:val="9"/>
  </w:num>
  <w:num w:numId="3" w16cid:durableId="322204614">
    <w:abstractNumId w:val="8"/>
  </w:num>
  <w:num w:numId="4" w16cid:durableId="152993165">
    <w:abstractNumId w:val="14"/>
  </w:num>
  <w:num w:numId="5" w16cid:durableId="1751658815">
    <w:abstractNumId w:val="12"/>
  </w:num>
  <w:num w:numId="6" w16cid:durableId="839202361">
    <w:abstractNumId w:val="11"/>
  </w:num>
  <w:num w:numId="7" w16cid:durableId="2096171928">
    <w:abstractNumId w:val="7"/>
  </w:num>
  <w:num w:numId="8" w16cid:durableId="553545512">
    <w:abstractNumId w:val="10"/>
  </w:num>
  <w:num w:numId="9" w16cid:durableId="1881830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9277758">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16cid:durableId="60716032">
    <w:abstractNumId w:val="6"/>
  </w:num>
  <w:num w:numId="12" w16cid:durableId="1448622360">
    <w:abstractNumId w:val="0"/>
  </w:num>
  <w:num w:numId="13" w16cid:durableId="8275505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1227316">
    <w:abstractNumId w:val="3"/>
  </w:num>
  <w:num w:numId="15" w16cid:durableId="395590744">
    <w:abstractNumId w:val="5"/>
  </w:num>
  <w:num w:numId="16" w16cid:durableId="131756476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067"/>
    <w:rsid w:val="0000073A"/>
    <w:rsid w:val="000007D8"/>
    <w:rsid w:val="00000D3A"/>
    <w:rsid w:val="00001357"/>
    <w:rsid w:val="00002197"/>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63"/>
    <w:rsid w:val="0006125A"/>
    <w:rsid w:val="00061368"/>
    <w:rsid w:val="00062698"/>
    <w:rsid w:val="000626E8"/>
    <w:rsid w:val="00062708"/>
    <w:rsid w:val="000627B2"/>
    <w:rsid w:val="00062839"/>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52DC"/>
    <w:rsid w:val="00096C5C"/>
    <w:rsid w:val="00097081"/>
    <w:rsid w:val="000A09FC"/>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4AC"/>
    <w:rsid w:val="000E451A"/>
    <w:rsid w:val="000E45A2"/>
    <w:rsid w:val="000E5069"/>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492"/>
    <w:rsid w:val="00125668"/>
    <w:rsid w:val="0012697F"/>
    <w:rsid w:val="00126AEE"/>
    <w:rsid w:val="001274E9"/>
    <w:rsid w:val="00127755"/>
    <w:rsid w:val="0012783B"/>
    <w:rsid w:val="00127BB6"/>
    <w:rsid w:val="00130493"/>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F48"/>
    <w:rsid w:val="001600D5"/>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37CD6"/>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F09"/>
    <w:rsid w:val="00282214"/>
    <w:rsid w:val="002827C8"/>
    <w:rsid w:val="002828D5"/>
    <w:rsid w:val="00282BA3"/>
    <w:rsid w:val="0028345E"/>
    <w:rsid w:val="00283873"/>
    <w:rsid w:val="002840BB"/>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4CF"/>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87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7FE"/>
    <w:rsid w:val="002D79F8"/>
    <w:rsid w:val="002D7E0F"/>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920"/>
    <w:rsid w:val="00311DE3"/>
    <w:rsid w:val="003120E5"/>
    <w:rsid w:val="00312609"/>
    <w:rsid w:val="0031265D"/>
    <w:rsid w:val="00312817"/>
    <w:rsid w:val="00312C2D"/>
    <w:rsid w:val="0031345A"/>
    <w:rsid w:val="00313662"/>
    <w:rsid w:val="0031425C"/>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75B5"/>
    <w:rsid w:val="0038792A"/>
    <w:rsid w:val="00387A51"/>
    <w:rsid w:val="00387CC6"/>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827"/>
    <w:rsid w:val="004C10A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0DE2"/>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C29"/>
    <w:rsid w:val="00613F2F"/>
    <w:rsid w:val="0061447C"/>
    <w:rsid w:val="0061462D"/>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152"/>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3CD3"/>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76C"/>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31A2"/>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847"/>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F48"/>
    <w:rsid w:val="00876151"/>
    <w:rsid w:val="0087673B"/>
    <w:rsid w:val="00876C10"/>
    <w:rsid w:val="00876CDD"/>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2D06"/>
    <w:rsid w:val="008D32CB"/>
    <w:rsid w:val="008D3379"/>
    <w:rsid w:val="008D37FC"/>
    <w:rsid w:val="008D3D34"/>
    <w:rsid w:val="008D5296"/>
    <w:rsid w:val="008D5695"/>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6B"/>
    <w:rsid w:val="008F2DBE"/>
    <w:rsid w:val="008F2F62"/>
    <w:rsid w:val="008F3989"/>
    <w:rsid w:val="008F440F"/>
    <w:rsid w:val="008F44C7"/>
    <w:rsid w:val="008F4714"/>
    <w:rsid w:val="008F4907"/>
    <w:rsid w:val="008F4F72"/>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5D70"/>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7C2"/>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5F7C"/>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55A"/>
    <w:rsid w:val="00AA7FD1"/>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4253"/>
    <w:rsid w:val="00B14390"/>
    <w:rsid w:val="00B143E0"/>
    <w:rsid w:val="00B14C7E"/>
    <w:rsid w:val="00B15482"/>
    <w:rsid w:val="00B15999"/>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09A"/>
    <w:rsid w:val="00B54258"/>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CE7"/>
    <w:rsid w:val="00C71D61"/>
    <w:rsid w:val="00C728F7"/>
    <w:rsid w:val="00C72C53"/>
    <w:rsid w:val="00C73102"/>
    <w:rsid w:val="00C732B7"/>
    <w:rsid w:val="00C73D1F"/>
    <w:rsid w:val="00C73EC3"/>
    <w:rsid w:val="00C74BBF"/>
    <w:rsid w:val="00C74C95"/>
    <w:rsid w:val="00C74FD9"/>
    <w:rsid w:val="00C75C81"/>
    <w:rsid w:val="00C7611A"/>
    <w:rsid w:val="00C76142"/>
    <w:rsid w:val="00C76183"/>
    <w:rsid w:val="00C765D6"/>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0D"/>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BE5"/>
    <w:rsid w:val="00CC6C5C"/>
    <w:rsid w:val="00CC737F"/>
    <w:rsid w:val="00CC7C0A"/>
    <w:rsid w:val="00CC7FBE"/>
    <w:rsid w:val="00CD0B42"/>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C98"/>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67D"/>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24F"/>
    <w:rsid w:val="00D60A6F"/>
    <w:rsid w:val="00D60AF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38C"/>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0705"/>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0E"/>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8B3"/>
    <w:rsid w:val="00DB7D82"/>
    <w:rsid w:val="00DC0010"/>
    <w:rsid w:val="00DC0274"/>
    <w:rsid w:val="00DC0371"/>
    <w:rsid w:val="00DC0400"/>
    <w:rsid w:val="00DC04BB"/>
    <w:rsid w:val="00DC0522"/>
    <w:rsid w:val="00DC0945"/>
    <w:rsid w:val="00DC0B3D"/>
    <w:rsid w:val="00DC0CD8"/>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2C9"/>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4D6"/>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86E"/>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69E"/>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30"/>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D704C"/>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sv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4.jpeg"/></Relationships>
</file>

<file path=word/_rels/head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21E37-DD12-4B66-8DDA-1DFB63B1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9991</Words>
  <Characters>54954</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64816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Maria de Jesus Rios</cp:lastModifiedBy>
  <cp:revision>3</cp:revision>
  <cp:lastPrinted>2023-04-28T01:50:00Z</cp:lastPrinted>
  <dcterms:created xsi:type="dcterms:W3CDTF">2023-04-29T03:04:00Z</dcterms:created>
  <dcterms:modified xsi:type="dcterms:W3CDTF">2023-04-29T03:06:00Z</dcterms:modified>
</cp:coreProperties>
</file>